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BAE0" w14:textId="5D13B83B" w:rsidR="006527EE" w:rsidRDefault="006527EE" w:rsidP="006527EE">
      <w:pPr>
        <w:jc w:val="right"/>
      </w:pPr>
      <w:r>
        <w:t xml:space="preserve">Annex </w:t>
      </w:r>
      <w:r w:rsidR="008E173B">
        <w:t>9</w:t>
      </w:r>
    </w:p>
    <w:tbl>
      <w:tblPr>
        <w:tblStyle w:val="TableGrid"/>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tblGrid>
      <w:tr w:rsidR="003E7729" w:rsidRPr="003E7729" w14:paraId="0ABD3CB1" w14:textId="77777777" w:rsidTr="009B063B">
        <w:tc>
          <w:tcPr>
            <w:tcW w:w="9107" w:type="dxa"/>
            <w:tcMar>
              <w:left w:w="28" w:type="dxa"/>
              <w:right w:w="28" w:type="dxa"/>
            </w:tcMar>
          </w:tcPr>
          <w:p w14:paraId="1B75A164" w14:textId="678CDA61" w:rsidR="003E7729" w:rsidRPr="003E7729" w:rsidRDefault="003E7729" w:rsidP="003E7729">
            <w:pPr>
              <w:tabs>
                <w:tab w:val="left" w:pos="567"/>
              </w:tabs>
              <w:spacing w:after="120"/>
              <w:jc w:val="both"/>
              <w:rPr>
                <w:rFonts w:ascii="Calibri" w:eastAsia="Times New Roman" w:hAnsi="Calibri" w:cs="Calibri"/>
                <w:sz w:val="26"/>
                <w:szCs w:val="26"/>
              </w:rPr>
            </w:pPr>
            <w:bookmarkStart w:id="0" w:name="_Hlk51054243"/>
            <w:r w:rsidRPr="003E7729">
              <w:rPr>
                <w:rFonts w:ascii="Calibri" w:eastAsia="Times New Roman" w:hAnsi="Calibri" w:cs="Calibri"/>
                <w:sz w:val="26"/>
                <w:szCs w:val="26"/>
              </w:rPr>
              <w:t>OSPAR Convention for the Protection of the Marine Environment of the North-East Atlantic</w:t>
            </w:r>
          </w:p>
        </w:tc>
      </w:tr>
      <w:tr w:rsidR="003E7729" w:rsidRPr="003E7729" w14:paraId="27DC769D" w14:textId="77777777" w:rsidTr="009B063B">
        <w:tc>
          <w:tcPr>
            <w:tcW w:w="9107" w:type="dxa"/>
            <w:tcBorders>
              <w:bottom w:val="single" w:sz="4" w:space="0" w:color="auto"/>
            </w:tcBorders>
            <w:tcMar>
              <w:left w:w="28" w:type="dxa"/>
              <w:right w:w="28" w:type="dxa"/>
            </w:tcMar>
          </w:tcPr>
          <w:p w14:paraId="18CE1118" w14:textId="6C86C1F6" w:rsidR="003E7729" w:rsidRPr="003E7729" w:rsidRDefault="00CC32B4" w:rsidP="003E7729">
            <w:pPr>
              <w:tabs>
                <w:tab w:val="left" w:pos="567"/>
              </w:tabs>
              <w:spacing w:after="120"/>
              <w:jc w:val="both"/>
              <w:rPr>
                <w:rFonts w:ascii="Calibri" w:eastAsia="Times New Roman" w:hAnsi="Calibri" w:cs="Calibri"/>
                <w:sz w:val="26"/>
                <w:szCs w:val="26"/>
              </w:rPr>
            </w:pPr>
            <w:r>
              <w:rPr>
                <w:rFonts w:ascii="Calibri" w:eastAsia="Times New Roman" w:hAnsi="Calibri" w:cs="Calibri"/>
                <w:sz w:val="26"/>
                <w:szCs w:val="26"/>
              </w:rPr>
              <w:t>Hazardous Substances and Eutrophication Committee</w:t>
            </w:r>
          </w:p>
          <w:p w14:paraId="34728170" w14:textId="0D1A8FF4" w:rsidR="003E7729" w:rsidRPr="003E7729" w:rsidRDefault="003E7729" w:rsidP="003E7729">
            <w:pPr>
              <w:tabs>
                <w:tab w:val="left" w:pos="567"/>
              </w:tabs>
              <w:spacing w:after="120"/>
              <w:jc w:val="both"/>
              <w:rPr>
                <w:rFonts w:ascii="Calibri" w:eastAsia="Calibri" w:hAnsi="Calibri" w:cs="Calibri"/>
                <w:sz w:val="26"/>
                <w:szCs w:val="26"/>
              </w:rPr>
            </w:pPr>
            <w:r w:rsidRPr="003E7729">
              <w:rPr>
                <w:rFonts w:ascii="Calibri" w:eastAsia="Calibri" w:hAnsi="Calibri" w:cs="Calibri"/>
                <w:sz w:val="26"/>
                <w:szCs w:val="26"/>
              </w:rPr>
              <w:t xml:space="preserve">Hybrid meeting from </w:t>
            </w:r>
            <w:r w:rsidR="00CC32B4">
              <w:rPr>
                <w:rFonts w:ascii="Calibri" w:eastAsia="Calibri" w:hAnsi="Calibri" w:cs="Calibri"/>
                <w:sz w:val="26"/>
                <w:szCs w:val="26"/>
              </w:rPr>
              <w:t>Haarlem (Netherlands)</w:t>
            </w:r>
            <w:r w:rsidRPr="003E7729">
              <w:rPr>
                <w:rFonts w:ascii="Calibri" w:eastAsia="Calibri" w:hAnsi="Calibri" w:cs="Calibri"/>
                <w:sz w:val="26"/>
                <w:szCs w:val="26"/>
              </w:rPr>
              <w:t xml:space="preserve">: </w:t>
            </w:r>
            <w:r w:rsidR="00CC32B4">
              <w:rPr>
                <w:rFonts w:ascii="Calibri" w:eastAsia="Calibri" w:hAnsi="Calibri" w:cs="Calibri"/>
                <w:sz w:val="26"/>
                <w:szCs w:val="26"/>
              </w:rPr>
              <w:t>8-12 April 2024</w:t>
            </w:r>
          </w:p>
        </w:tc>
      </w:tr>
      <w:bookmarkEnd w:id="0"/>
    </w:tbl>
    <w:p w14:paraId="35333355" w14:textId="55A1E76C" w:rsidR="00CC32B4" w:rsidRDefault="00CC32B4">
      <w:pPr>
        <w:rPr>
          <w:rFonts w:ascii="Calibri" w:eastAsia="Times New Roman" w:hAnsi="Calibri" w:cs="Times New Roman"/>
          <w:noProof/>
          <w:kern w:val="0"/>
          <w:sz w:val="32"/>
          <w:szCs w:val="32"/>
          <w:lang w:eastAsia="en-GB"/>
          <w14:ligatures w14:val="none"/>
        </w:rPr>
      </w:pPr>
    </w:p>
    <w:p w14:paraId="58AF6357" w14:textId="12B497E0" w:rsidR="0034368A" w:rsidRPr="009F7FF9" w:rsidRDefault="0034368A" w:rsidP="0034368A">
      <w:pPr>
        <w:pStyle w:val="Heading1"/>
        <w:rPr>
          <w:sz w:val="32"/>
          <w:szCs w:val="32"/>
        </w:rPr>
      </w:pPr>
      <w:r w:rsidRPr="009F7FF9">
        <w:rPr>
          <w:sz w:val="32"/>
          <w:szCs w:val="32"/>
        </w:rPr>
        <w:t xml:space="preserve">Terms of reference for the OSPAR </w:t>
      </w:r>
      <w:r>
        <w:rPr>
          <w:sz w:val="32"/>
          <w:szCs w:val="32"/>
        </w:rPr>
        <w:t xml:space="preserve">working group on </w:t>
      </w:r>
      <w:r w:rsidRPr="0034368A">
        <w:rPr>
          <w:sz w:val="32"/>
          <w:szCs w:val="32"/>
        </w:rPr>
        <w:t>Monitoring and Trends and Effects of Substances in the Marine Environment (MIME)</w:t>
      </w:r>
    </w:p>
    <w:p w14:paraId="5B82D473" w14:textId="77777777" w:rsidR="0034368A" w:rsidRDefault="0034368A" w:rsidP="00CC32B4">
      <w:pPr>
        <w:pStyle w:val="ListParagraph"/>
        <w:numPr>
          <w:ilvl w:val="0"/>
          <w:numId w:val="1"/>
        </w:numPr>
        <w:tabs>
          <w:tab w:val="left" w:pos="540"/>
          <w:tab w:val="left" w:pos="567"/>
        </w:tabs>
        <w:spacing w:before="120"/>
        <w:ind w:left="0" w:firstLine="0"/>
        <w:contextualSpacing w:val="0"/>
      </w:pPr>
      <w:bookmarkStart w:id="1" w:name="_Hlk98170449"/>
      <w:bookmarkEnd w:id="1"/>
      <w:r>
        <w:t xml:space="preserve">Monitoring and Trends and Effects of Substances in the Marine Environment (MIME) </w:t>
      </w:r>
      <w:r w:rsidRPr="00621A9B">
        <w:t xml:space="preserve">is a subsidiary body of </w:t>
      </w:r>
      <w:r>
        <w:t xml:space="preserve">the </w:t>
      </w:r>
      <w:r w:rsidRPr="0034368A">
        <w:t>OSPAR Hazardous Substances and Eutrophication Committee</w:t>
      </w:r>
      <w:r w:rsidRPr="00621A9B">
        <w:t xml:space="preserve"> comprising representatives of all Contracting Parties and OSPAR Observer organisations. </w:t>
      </w:r>
      <w:r>
        <w:t xml:space="preserve">The function of MIME is to </w:t>
      </w:r>
      <w:r>
        <w:rPr>
          <w:lang w:val="en-US"/>
        </w:rPr>
        <w:t xml:space="preserve">keep the Coordinated Environmental Monitoring Program (CEMP) updated and perform yearly trial assessments for hazardous substances under the </w:t>
      </w:r>
      <w:r>
        <w:t>Convention on hazardous substances and eutrophication and contribute to HASECs delivery of the North-East Atlantic Environment Strategy (NEAES 2030).</w:t>
      </w:r>
    </w:p>
    <w:p w14:paraId="451D236F" w14:textId="77777777" w:rsidR="0034368A" w:rsidRPr="00EB607C" w:rsidRDefault="0034368A" w:rsidP="00CC32B4">
      <w:pPr>
        <w:pStyle w:val="ListParagraph"/>
        <w:numPr>
          <w:ilvl w:val="0"/>
          <w:numId w:val="1"/>
        </w:numPr>
        <w:tabs>
          <w:tab w:val="left" w:pos="540"/>
          <w:tab w:val="left" w:pos="567"/>
        </w:tabs>
        <w:spacing w:before="120"/>
        <w:ind w:left="0" w:firstLine="0"/>
        <w:contextualSpacing w:val="0"/>
      </w:pPr>
      <w:r w:rsidRPr="00EB607C">
        <w:rPr>
          <w:rFonts w:cs="Arial"/>
        </w:rPr>
        <w:t xml:space="preserve">The scope of work is to develop </w:t>
      </w:r>
      <w:r>
        <w:rPr>
          <w:rFonts w:cs="Arial"/>
        </w:rPr>
        <w:t>the CEMP</w:t>
      </w:r>
      <w:r w:rsidRPr="00EB607C">
        <w:rPr>
          <w:rFonts w:cs="Arial"/>
        </w:rPr>
        <w:t xml:space="preserve"> which include those related to: </w:t>
      </w:r>
    </w:p>
    <w:p w14:paraId="09E52322" w14:textId="77777777" w:rsidR="0034368A" w:rsidRDefault="0034368A" w:rsidP="00CC32B4">
      <w:pPr>
        <w:numPr>
          <w:ilvl w:val="1"/>
          <w:numId w:val="2"/>
        </w:numPr>
        <w:tabs>
          <w:tab w:val="left" w:pos="540"/>
          <w:tab w:val="left" w:pos="567"/>
          <w:tab w:val="left" w:pos="1134"/>
          <w:tab w:val="left" w:pos="1701"/>
          <w:tab w:val="left" w:pos="2268"/>
        </w:tabs>
        <w:spacing w:after="120" w:line="276" w:lineRule="auto"/>
        <w:ind w:left="1134" w:hanging="567"/>
        <w:jc w:val="both"/>
        <w:rPr>
          <w:rFonts w:cs="Arial"/>
        </w:rPr>
      </w:pPr>
      <w:r w:rsidRPr="00EB607C">
        <w:rPr>
          <w:rFonts w:cs="Arial"/>
        </w:rPr>
        <w:t>keeping under revie</w:t>
      </w:r>
      <w:r w:rsidRPr="0034368A">
        <w:rPr>
          <w:rFonts w:cs="Arial"/>
          <w:lang w:val="en-US"/>
        </w:rPr>
        <w:t xml:space="preserve">w </w:t>
      </w:r>
      <w:r>
        <w:rPr>
          <w:lang w:val="en-US"/>
        </w:rPr>
        <w:t>the guidelines under the CEMP, ensuring that there are guidelines for all the matrices and substances monitored</w:t>
      </w:r>
      <w:r w:rsidRPr="00EB607C">
        <w:rPr>
          <w:rFonts w:cs="Arial"/>
        </w:rPr>
        <w:t>;</w:t>
      </w:r>
    </w:p>
    <w:p w14:paraId="36817F9B" w14:textId="59C5A930" w:rsidR="0034368A" w:rsidRPr="0034368A" w:rsidRDefault="00B05A85" w:rsidP="00CC32B4">
      <w:pPr>
        <w:numPr>
          <w:ilvl w:val="1"/>
          <w:numId w:val="2"/>
        </w:numPr>
        <w:tabs>
          <w:tab w:val="left" w:pos="540"/>
          <w:tab w:val="left" w:pos="567"/>
          <w:tab w:val="left" w:pos="1134"/>
          <w:tab w:val="left" w:pos="1701"/>
          <w:tab w:val="left" w:pos="2268"/>
        </w:tabs>
        <w:spacing w:after="120" w:line="276" w:lineRule="auto"/>
        <w:ind w:left="1134" w:hanging="567"/>
        <w:jc w:val="both"/>
        <w:rPr>
          <w:rFonts w:cs="Arial"/>
        </w:rPr>
      </w:pPr>
      <w:r>
        <w:rPr>
          <w:rFonts w:cs="Arial"/>
          <w:lang w:val="en-US"/>
        </w:rPr>
        <w:t>e</w:t>
      </w:r>
      <w:r w:rsidR="0034368A" w:rsidRPr="59CDCB47">
        <w:rPr>
          <w:rFonts w:cs="Arial"/>
          <w:lang w:val="en-US"/>
        </w:rPr>
        <w:t>nsur</w:t>
      </w:r>
      <w:r>
        <w:rPr>
          <w:rFonts w:cs="Arial"/>
          <w:lang w:val="en-US"/>
        </w:rPr>
        <w:t>ing</w:t>
      </w:r>
      <w:r w:rsidR="0034368A" w:rsidRPr="59CDCB47">
        <w:rPr>
          <w:rFonts w:cs="Arial"/>
          <w:lang w:val="en-US"/>
        </w:rPr>
        <w:t xml:space="preserve"> that there </w:t>
      </w:r>
      <w:r w:rsidR="5E6561F1" w:rsidRPr="59CDCB47">
        <w:rPr>
          <w:rFonts w:cs="Arial"/>
          <w:lang w:val="en-US"/>
        </w:rPr>
        <w:t>is</w:t>
      </w:r>
      <w:r w:rsidR="0034368A" w:rsidRPr="59CDCB47">
        <w:rPr>
          <w:rFonts w:cs="Arial"/>
          <w:lang w:val="en-US"/>
        </w:rPr>
        <w:t xml:space="preserve"> </w:t>
      </w:r>
      <w:r w:rsidR="0034368A" w:rsidRPr="59CDCB47">
        <w:rPr>
          <w:lang w:val="en-US"/>
        </w:rPr>
        <w:t xml:space="preserve">quality assurance in place for the </w:t>
      </w:r>
      <w:r w:rsidR="00B3301A">
        <w:rPr>
          <w:lang w:val="en-US"/>
        </w:rPr>
        <w:t>parameters</w:t>
      </w:r>
      <w:r w:rsidR="00B3301A" w:rsidRPr="59CDCB47">
        <w:rPr>
          <w:lang w:val="en-US"/>
        </w:rPr>
        <w:t xml:space="preserve"> </w:t>
      </w:r>
      <w:r w:rsidR="0034368A" w:rsidRPr="59CDCB47">
        <w:rPr>
          <w:lang w:val="en-US"/>
        </w:rPr>
        <w:t xml:space="preserve">monitored </w:t>
      </w:r>
    </w:p>
    <w:p w14:paraId="21093640" w14:textId="7F84E20F" w:rsidR="0034368A" w:rsidRPr="0034368A" w:rsidRDefault="00B05A85" w:rsidP="00CC32B4">
      <w:pPr>
        <w:numPr>
          <w:ilvl w:val="1"/>
          <w:numId w:val="2"/>
        </w:numPr>
        <w:tabs>
          <w:tab w:val="left" w:pos="540"/>
          <w:tab w:val="left" w:pos="567"/>
          <w:tab w:val="left" w:pos="1134"/>
          <w:tab w:val="left" w:pos="1701"/>
          <w:tab w:val="left" w:pos="2268"/>
        </w:tabs>
        <w:spacing w:after="120" w:line="276" w:lineRule="auto"/>
        <w:ind w:left="1134" w:hanging="567"/>
        <w:jc w:val="both"/>
        <w:rPr>
          <w:rFonts w:cs="Arial"/>
        </w:rPr>
      </w:pPr>
      <w:r>
        <w:rPr>
          <w:lang w:val="en-US"/>
        </w:rPr>
        <w:t>e</w:t>
      </w:r>
      <w:r w:rsidR="0034368A">
        <w:rPr>
          <w:lang w:val="en-US"/>
        </w:rPr>
        <w:t>nsur</w:t>
      </w:r>
      <w:r>
        <w:rPr>
          <w:lang w:val="en-US"/>
        </w:rPr>
        <w:t>ing</w:t>
      </w:r>
      <w:r w:rsidR="0034368A">
        <w:rPr>
          <w:lang w:val="en-US"/>
        </w:rPr>
        <w:t xml:space="preserve"> that there are relevant assessment criteria for the substances of concern</w:t>
      </w:r>
      <w:r w:rsidR="00B3301A">
        <w:rPr>
          <w:lang w:val="en-US"/>
        </w:rPr>
        <w:t xml:space="preserve"> and priority action</w:t>
      </w:r>
      <w:r w:rsidR="00D92BB6">
        <w:rPr>
          <w:lang w:val="en-US"/>
        </w:rPr>
        <w:t>, including development of lists of substances of possible concern (</w:t>
      </w:r>
      <w:r w:rsidR="00795528">
        <w:rPr>
          <w:lang w:val="en-US"/>
        </w:rPr>
        <w:t xml:space="preserve">LCPA </w:t>
      </w:r>
      <w:r w:rsidR="00D92BB6">
        <w:rPr>
          <w:lang w:val="en-US"/>
        </w:rPr>
        <w:t xml:space="preserve">and </w:t>
      </w:r>
      <w:r w:rsidR="00795528">
        <w:rPr>
          <w:lang w:val="en-US"/>
        </w:rPr>
        <w:t>LSPC</w:t>
      </w:r>
      <w:r w:rsidR="00D92BB6">
        <w:rPr>
          <w:lang w:val="en-US"/>
        </w:rPr>
        <w:t>) in cooperation with HELCOM, AMAP and NORMAN</w:t>
      </w:r>
      <w:r w:rsidR="0034368A">
        <w:rPr>
          <w:lang w:val="en-US"/>
        </w:rPr>
        <w:t>;</w:t>
      </w:r>
    </w:p>
    <w:p w14:paraId="79730006" w14:textId="77777777" w:rsidR="0034368A" w:rsidRPr="00D92BB6" w:rsidRDefault="0034368A" w:rsidP="00CC32B4">
      <w:pPr>
        <w:numPr>
          <w:ilvl w:val="1"/>
          <w:numId w:val="2"/>
        </w:numPr>
        <w:tabs>
          <w:tab w:val="left" w:pos="540"/>
          <w:tab w:val="left" w:pos="567"/>
          <w:tab w:val="left" w:pos="1134"/>
          <w:tab w:val="left" w:pos="1701"/>
          <w:tab w:val="left" w:pos="2268"/>
        </w:tabs>
        <w:spacing w:after="120" w:line="276" w:lineRule="auto"/>
        <w:ind w:left="1134" w:hanging="567"/>
        <w:jc w:val="both"/>
        <w:rPr>
          <w:rFonts w:cs="Arial"/>
        </w:rPr>
      </w:pPr>
      <w:r w:rsidRPr="00EB607C">
        <w:rPr>
          <w:rFonts w:cs="Arial"/>
        </w:rPr>
        <w:t xml:space="preserve">monitoring the state of hazardous substances in the marine environment </w:t>
      </w:r>
      <w:r w:rsidRPr="0034368A">
        <w:rPr>
          <w:rFonts w:cs="Arial"/>
          <w:lang w:val="en-US"/>
        </w:rPr>
        <w:t xml:space="preserve">with </w:t>
      </w:r>
      <w:r>
        <w:rPr>
          <w:rFonts w:cs="Arial"/>
          <w:lang w:val="en-US"/>
        </w:rPr>
        <w:t xml:space="preserve">a yearly assessment of status and time trend using the OHAT </w:t>
      </w:r>
      <w:r w:rsidR="00D92BB6">
        <w:rPr>
          <w:rFonts w:cs="Arial"/>
          <w:lang w:val="en-US"/>
        </w:rPr>
        <w:t xml:space="preserve">assessment </w:t>
      </w:r>
      <w:r>
        <w:rPr>
          <w:rFonts w:cs="Arial"/>
          <w:lang w:val="en-US"/>
        </w:rPr>
        <w:t>system</w:t>
      </w:r>
      <w:r w:rsidR="00D92BB6" w:rsidRPr="00D92BB6">
        <w:rPr>
          <w:rFonts w:cs="Arial"/>
          <w:lang w:val="en-US"/>
        </w:rPr>
        <w:t>;</w:t>
      </w:r>
    </w:p>
    <w:p w14:paraId="4BD4F105" w14:textId="098A00D1" w:rsidR="00D92BB6" w:rsidRPr="00EB607C" w:rsidRDefault="00B05A85" w:rsidP="00CC32B4">
      <w:pPr>
        <w:numPr>
          <w:ilvl w:val="1"/>
          <w:numId w:val="2"/>
        </w:numPr>
        <w:tabs>
          <w:tab w:val="left" w:pos="540"/>
          <w:tab w:val="left" w:pos="567"/>
          <w:tab w:val="left" w:pos="1134"/>
          <w:tab w:val="left" w:pos="1701"/>
          <w:tab w:val="left" w:pos="2268"/>
        </w:tabs>
        <w:spacing w:after="120" w:line="276" w:lineRule="auto"/>
        <w:ind w:left="1134" w:hanging="567"/>
        <w:jc w:val="both"/>
        <w:rPr>
          <w:rFonts w:cs="Arial"/>
        </w:rPr>
      </w:pPr>
      <w:r>
        <w:rPr>
          <w:rFonts w:cs="Arial"/>
          <w:lang w:val="en-US"/>
        </w:rPr>
        <w:t>f</w:t>
      </w:r>
      <w:r w:rsidR="00D92BB6">
        <w:rPr>
          <w:rFonts w:cs="Arial"/>
          <w:lang w:val="en-US"/>
        </w:rPr>
        <w:t>urther</w:t>
      </w:r>
      <w:r w:rsidR="00D92BB6" w:rsidRPr="00D92BB6">
        <w:rPr>
          <w:rFonts w:cs="Arial"/>
          <w:lang w:val="en-US"/>
        </w:rPr>
        <w:t xml:space="preserve"> development of OHAT a</w:t>
      </w:r>
      <w:r w:rsidR="00D92BB6">
        <w:rPr>
          <w:rFonts w:cs="Arial"/>
          <w:lang w:val="en-US"/>
        </w:rPr>
        <w:t>ssessment system in cooperation with AMAP, HELCOM and ICES to suit the changing needs of indicators and assessment parameters</w:t>
      </w:r>
      <w:r w:rsidR="00CC32B4">
        <w:rPr>
          <w:rFonts w:cs="Arial"/>
          <w:lang w:val="en-US"/>
        </w:rPr>
        <w:t>;</w:t>
      </w:r>
    </w:p>
    <w:p w14:paraId="432F3CFC" w14:textId="78603E68" w:rsidR="0034368A" w:rsidRPr="00EB607C" w:rsidRDefault="0034368A" w:rsidP="00CC32B4">
      <w:pPr>
        <w:numPr>
          <w:ilvl w:val="1"/>
          <w:numId w:val="2"/>
        </w:numPr>
        <w:tabs>
          <w:tab w:val="left" w:pos="540"/>
          <w:tab w:val="left" w:pos="567"/>
          <w:tab w:val="left" w:pos="1134"/>
          <w:tab w:val="left" w:pos="1701"/>
          <w:tab w:val="left" w:pos="2268"/>
        </w:tabs>
        <w:spacing w:after="120" w:line="276" w:lineRule="auto"/>
        <w:ind w:left="1134" w:hanging="567"/>
        <w:jc w:val="both"/>
        <w:rPr>
          <w:rFonts w:cs="Arial"/>
        </w:rPr>
      </w:pPr>
      <w:r w:rsidRPr="59CDCB47">
        <w:rPr>
          <w:rFonts w:cs="Arial"/>
        </w:rPr>
        <w:t>keeping under review OSPAR measures and actions related to hazardous substances.</w:t>
      </w:r>
    </w:p>
    <w:p w14:paraId="0643662B" w14:textId="77777777" w:rsidR="00B07263" w:rsidRPr="0034368A" w:rsidRDefault="00B07263" w:rsidP="00CC32B4">
      <w:pPr>
        <w:spacing w:line="276" w:lineRule="auto"/>
      </w:pPr>
    </w:p>
    <w:p w14:paraId="62B33232" w14:textId="77777777" w:rsidR="00D92BB6" w:rsidRPr="00DE0B46" w:rsidRDefault="00D92BB6" w:rsidP="00CC32B4">
      <w:pPr>
        <w:spacing w:line="276" w:lineRule="auto"/>
        <w:rPr>
          <w:rFonts w:cs="Arial"/>
          <w:u w:val="single"/>
        </w:rPr>
      </w:pPr>
      <w:r>
        <w:rPr>
          <w:rFonts w:cs="Arial"/>
          <w:u w:val="single"/>
        </w:rPr>
        <w:t>Operation and organisation of work</w:t>
      </w:r>
    </w:p>
    <w:p w14:paraId="0F99994F" w14:textId="77777777" w:rsidR="00D92BB6" w:rsidRDefault="00D92BB6" w:rsidP="00CC32B4">
      <w:pPr>
        <w:pStyle w:val="ListParagraph"/>
        <w:numPr>
          <w:ilvl w:val="0"/>
          <w:numId w:val="1"/>
        </w:numPr>
        <w:tabs>
          <w:tab w:val="left" w:pos="540"/>
          <w:tab w:val="left" w:pos="567"/>
        </w:tabs>
        <w:spacing w:before="120"/>
        <w:ind w:left="0" w:firstLine="0"/>
        <w:contextualSpacing w:val="0"/>
      </w:pPr>
      <w:r>
        <w:t>MIME</w:t>
      </w:r>
      <w:r w:rsidRPr="00621A9B">
        <w:t xml:space="preserve"> shall hold at least one annual </w:t>
      </w:r>
      <w:r>
        <w:t xml:space="preserve">hybrid </w:t>
      </w:r>
      <w:r w:rsidRPr="00621A9B">
        <w:t>meeting.</w:t>
      </w:r>
    </w:p>
    <w:p w14:paraId="129B29D1" w14:textId="2499C94F" w:rsidR="00D92BB6" w:rsidRDefault="00D92BB6" w:rsidP="00CC32B4">
      <w:pPr>
        <w:pStyle w:val="ListParagraph"/>
        <w:numPr>
          <w:ilvl w:val="0"/>
          <w:numId w:val="1"/>
        </w:numPr>
        <w:tabs>
          <w:tab w:val="left" w:pos="540"/>
          <w:tab w:val="left" w:pos="567"/>
        </w:tabs>
        <w:spacing w:before="120"/>
        <w:ind w:left="0" w:firstLine="0"/>
        <w:contextualSpacing w:val="0"/>
      </w:pPr>
      <w:r>
        <w:t>MIME shall maintain a list of all guideline products including revision year and every year consider if any guidelines need updating.</w:t>
      </w:r>
    </w:p>
    <w:p w14:paraId="65A000A7" w14:textId="77777777" w:rsidR="00D92BB6" w:rsidRDefault="00D92BB6" w:rsidP="00CC32B4">
      <w:pPr>
        <w:pStyle w:val="ListParagraph"/>
        <w:numPr>
          <w:ilvl w:val="0"/>
          <w:numId w:val="1"/>
        </w:numPr>
        <w:tabs>
          <w:tab w:val="left" w:pos="540"/>
          <w:tab w:val="left" w:pos="567"/>
        </w:tabs>
        <w:spacing w:before="120"/>
        <w:ind w:left="0" w:firstLine="0"/>
        <w:contextualSpacing w:val="0"/>
      </w:pPr>
      <w:r>
        <w:t xml:space="preserve">MIME shall report to HASEC on tasks given by HASEC and </w:t>
      </w:r>
      <w:r w:rsidRPr="00621A9B">
        <w:t xml:space="preserve">on key issues that require coordination/management by </w:t>
      </w:r>
      <w:r>
        <w:t>HASEC</w:t>
      </w:r>
    </w:p>
    <w:p w14:paraId="05FB7C47" w14:textId="77777777" w:rsidR="00D92BB6" w:rsidRPr="00393481" w:rsidRDefault="00D92BB6" w:rsidP="00CC32B4">
      <w:pPr>
        <w:tabs>
          <w:tab w:val="left" w:pos="540"/>
          <w:tab w:val="left" w:pos="567"/>
        </w:tabs>
        <w:spacing w:before="120" w:line="276" w:lineRule="auto"/>
        <w:outlineLvl w:val="0"/>
        <w:rPr>
          <w:rFonts w:cs="Arial"/>
          <w:u w:val="single"/>
        </w:rPr>
      </w:pPr>
      <w:r>
        <w:rPr>
          <w:rFonts w:cs="Arial"/>
          <w:u w:val="single"/>
        </w:rPr>
        <w:t>I</w:t>
      </w:r>
      <w:r w:rsidRPr="00393481">
        <w:rPr>
          <w:rFonts w:cs="Arial"/>
          <w:u w:val="single"/>
        </w:rPr>
        <w:t>mplementation</w:t>
      </w:r>
      <w:r>
        <w:rPr>
          <w:rFonts w:cs="Arial"/>
          <w:u w:val="single"/>
        </w:rPr>
        <w:t xml:space="preserve"> of the North-East Atlantic Environment Strategy 2030</w:t>
      </w:r>
    </w:p>
    <w:p w14:paraId="1BDB53D6" w14:textId="77777777" w:rsidR="00D92BB6" w:rsidRDefault="00D92BB6" w:rsidP="00CC32B4">
      <w:pPr>
        <w:pStyle w:val="ListParagraph"/>
        <w:numPr>
          <w:ilvl w:val="0"/>
          <w:numId w:val="1"/>
        </w:numPr>
        <w:tabs>
          <w:tab w:val="left" w:pos="540"/>
          <w:tab w:val="left" w:pos="567"/>
        </w:tabs>
        <w:spacing w:before="120"/>
        <w:ind w:left="0" w:firstLine="0"/>
        <w:contextualSpacing w:val="0"/>
      </w:pPr>
      <w:r>
        <w:t>MIME</w:t>
      </w:r>
      <w:r w:rsidRPr="003072AB">
        <w:t xml:space="preserve"> will facilitate the implementation of the NEAES 2030, by:</w:t>
      </w:r>
    </w:p>
    <w:p w14:paraId="482BFA61" w14:textId="77777777" w:rsidR="00D92BB6" w:rsidRDefault="00D92BB6" w:rsidP="00CC32B4">
      <w:pPr>
        <w:pStyle w:val="ListParagraph"/>
        <w:numPr>
          <w:ilvl w:val="0"/>
          <w:numId w:val="3"/>
        </w:numPr>
        <w:tabs>
          <w:tab w:val="left" w:pos="540"/>
          <w:tab w:val="left" w:pos="567"/>
        </w:tabs>
        <w:spacing w:before="120"/>
        <w:ind w:hanging="513"/>
        <w:contextualSpacing w:val="0"/>
      </w:pPr>
      <w:r>
        <w:lastRenderedPageBreak/>
        <w:t>contributing to HASEC advice on the strategic objectives S1, S2, S3, S4, S5, S6, S7, S9, S10, S11, and S12;</w:t>
      </w:r>
    </w:p>
    <w:p w14:paraId="5A313992" w14:textId="77777777" w:rsidR="00D92BB6" w:rsidRPr="00680D62" w:rsidRDefault="00D92BB6" w:rsidP="00CC32B4">
      <w:pPr>
        <w:pStyle w:val="ListParagraph"/>
        <w:numPr>
          <w:ilvl w:val="0"/>
          <w:numId w:val="3"/>
        </w:numPr>
        <w:tabs>
          <w:tab w:val="left" w:pos="540"/>
          <w:tab w:val="left" w:pos="567"/>
        </w:tabs>
        <w:spacing w:before="120"/>
        <w:ind w:hanging="513"/>
        <w:contextualSpacing w:val="0"/>
      </w:pPr>
      <w:r w:rsidRPr="00614509">
        <w:t>ensur</w:t>
      </w:r>
      <w:r>
        <w:t>ing</w:t>
      </w:r>
      <w:r w:rsidRPr="00614509">
        <w:t xml:space="preserve"> progress reporting </w:t>
      </w:r>
      <w:r>
        <w:t xml:space="preserve">to HASEC </w:t>
      </w:r>
      <w:r w:rsidRPr="00614509">
        <w:t xml:space="preserve">on implementation of NEAES </w:t>
      </w:r>
      <w:r>
        <w:t xml:space="preserve">2030 </w:t>
      </w:r>
      <w:r w:rsidRPr="00614509">
        <w:t xml:space="preserve">tasks </w:t>
      </w:r>
      <w:r>
        <w:t>which MIME have been tasked with solving for HASEC</w:t>
      </w:r>
      <w:r w:rsidRPr="00680D62">
        <w:t xml:space="preserve">. </w:t>
      </w:r>
    </w:p>
    <w:p w14:paraId="5113CF04" w14:textId="77777777" w:rsidR="00D92BB6" w:rsidRDefault="00D92BB6" w:rsidP="00CC32B4">
      <w:pPr>
        <w:tabs>
          <w:tab w:val="left" w:pos="720"/>
        </w:tabs>
        <w:spacing w:before="120" w:line="276" w:lineRule="auto"/>
        <w:outlineLvl w:val="0"/>
        <w:rPr>
          <w:rFonts w:cs="Arial"/>
          <w:u w:val="single"/>
        </w:rPr>
      </w:pPr>
      <w:r>
        <w:rPr>
          <w:rFonts w:cs="Arial"/>
          <w:u w:val="single"/>
        </w:rPr>
        <w:t>Measures and Actions</w:t>
      </w:r>
    </w:p>
    <w:p w14:paraId="7FF9B127" w14:textId="63D2DF56" w:rsidR="00D92BB6" w:rsidRDefault="00B05A85" w:rsidP="00CC32B4">
      <w:pPr>
        <w:tabs>
          <w:tab w:val="left" w:pos="567"/>
        </w:tabs>
        <w:spacing w:before="120" w:line="276" w:lineRule="auto"/>
        <w:rPr>
          <w:rFonts w:cs="Arial"/>
        </w:rPr>
      </w:pPr>
      <w:r>
        <w:rPr>
          <w:rFonts w:cs="Arial"/>
        </w:rPr>
        <w:t>7</w:t>
      </w:r>
      <w:r w:rsidR="00D92BB6" w:rsidRPr="59CDCB47">
        <w:rPr>
          <w:rFonts w:cs="Arial"/>
        </w:rPr>
        <w:t>.</w:t>
      </w:r>
      <w:r w:rsidR="00D92BB6">
        <w:tab/>
      </w:r>
      <w:r w:rsidR="00D92BB6" w:rsidRPr="59CDCB47">
        <w:rPr>
          <w:rFonts w:cs="Arial"/>
          <w:lang w:val="en-US"/>
        </w:rPr>
        <w:t>MIME</w:t>
      </w:r>
      <w:r w:rsidR="00D92BB6" w:rsidRPr="59CDCB47">
        <w:rPr>
          <w:rFonts w:cs="Arial"/>
        </w:rPr>
        <w:t xml:space="preserve"> will periodically report and evaluate the implementation and effectiveness of relevant OSPAR </w:t>
      </w:r>
      <w:r w:rsidR="00D92BB6" w:rsidRPr="59CDCB47">
        <w:rPr>
          <w:rFonts w:cs="Arial"/>
          <w:lang w:val="en-US"/>
        </w:rPr>
        <w:t>monitoring,</w:t>
      </w:r>
      <w:r w:rsidR="00D92BB6" w:rsidRPr="59CDCB47">
        <w:rPr>
          <w:rFonts w:cs="Arial"/>
        </w:rPr>
        <w:t xml:space="preserve"> </w:t>
      </w:r>
      <w:r w:rsidR="4E8A1ADC" w:rsidRPr="59CDCB47">
        <w:rPr>
          <w:rFonts w:cs="Arial"/>
        </w:rPr>
        <w:t>considering</w:t>
      </w:r>
      <w:r w:rsidR="00D92BB6" w:rsidRPr="59CDCB47">
        <w:rPr>
          <w:rFonts w:cs="Arial"/>
        </w:rPr>
        <w:t xml:space="preserve"> measures taken in other </w:t>
      </w:r>
      <w:r w:rsidR="00B3301A">
        <w:rPr>
          <w:rFonts w:cs="Arial"/>
        </w:rPr>
        <w:t xml:space="preserve">OSPAR groups, and other </w:t>
      </w:r>
      <w:r w:rsidR="00D92BB6" w:rsidRPr="59CDCB47">
        <w:rPr>
          <w:rFonts w:cs="Arial"/>
        </w:rPr>
        <w:t>relevant fora, such as the</w:t>
      </w:r>
      <w:r w:rsidR="00D92BB6" w:rsidRPr="59CDCB47">
        <w:rPr>
          <w:rFonts w:cs="Arial"/>
          <w:lang w:val="en-US"/>
        </w:rPr>
        <w:t xml:space="preserve"> other regional Sea Conventions (HELCOM, AMAP)</w:t>
      </w:r>
      <w:r w:rsidR="004C30A5" w:rsidRPr="59CDCB47">
        <w:rPr>
          <w:rFonts w:cs="Arial"/>
          <w:lang w:val="en-US"/>
        </w:rPr>
        <w:t>, NORMAN and</w:t>
      </w:r>
      <w:r w:rsidR="00D92BB6" w:rsidRPr="59CDCB47">
        <w:rPr>
          <w:rFonts w:cs="Arial"/>
        </w:rPr>
        <w:t xml:space="preserve"> EU.</w:t>
      </w:r>
    </w:p>
    <w:p w14:paraId="290E2A2B" w14:textId="380A3C04" w:rsidR="00D92BB6" w:rsidRPr="004909DB" w:rsidRDefault="00B05A85" w:rsidP="00CC32B4">
      <w:pPr>
        <w:tabs>
          <w:tab w:val="left" w:pos="567"/>
        </w:tabs>
        <w:spacing w:before="120" w:line="276" w:lineRule="auto"/>
        <w:rPr>
          <w:rFonts w:cs="Arial"/>
        </w:rPr>
      </w:pPr>
      <w:r>
        <w:rPr>
          <w:rFonts w:cs="Arial"/>
        </w:rPr>
        <w:t>8</w:t>
      </w:r>
      <w:r w:rsidR="00D92BB6">
        <w:rPr>
          <w:rFonts w:cs="Arial"/>
        </w:rPr>
        <w:t>.</w:t>
      </w:r>
      <w:r w:rsidR="00D92BB6">
        <w:rPr>
          <w:rFonts w:cs="Arial"/>
        </w:rPr>
        <w:tab/>
      </w:r>
      <w:r w:rsidR="004C30A5" w:rsidRPr="004C30A5">
        <w:rPr>
          <w:rFonts w:cs="Arial"/>
          <w:lang w:val="en-US"/>
        </w:rPr>
        <w:t>MI</w:t>
      </w:r>
      <w:r w:rsidR="004C30A5">
        <w:rPr>
          <w:rFonts w:cs="Arial"/>
          <w:lang w:val="en-US"/>
        </w:rPr>
        <w:t>ME</w:t>
      </w:r>
      <w:r w:rsidR="00D92BB6">
        <w:rPr>
          <w:rFonts w:cs="Arial"/>
        </w:rPr>
        <w:t xml:space="preserve"> will </w:t>
      </w:r>
      <w:r w:rsidR="00D92BB6" w:rsidRPr="004909DB">
        <w:rPr>
          <w:rFonts w:cs="Arial"/>
        </w:rPr>
        <w:t xml:space="preserve">periodically </w:t>
      </w:r>
      <w:r w:rsidR="00D92BB6">
        <w:rPr>
          <w:rFonts w:cs="Arial"/>
        </w:rPr>
        <w:t xml:space="preserve">review the applicability of its related </w:t>
      </w:r>
      <w:r w:rsidR="004C30A5" w:rsidRPr="004C30A5">
        <w:rPr>
          <w:rFonts w:cs="Arial"/>
          <w:lang w:val="en-US"/>
        </w:rPr>
        <w:t>monitoring</w:t>
      </w:r>
      <w:r w:rsidR="00D92BB6">
        <w:rPr>
          <w:rFonts w:cs="Arial"/>
        </w:rPr>
        <w:t xml:space="preserve"> in line with the NEAES 2030.</w:t>
      </w:r>
    </w:p>
    <w:p w14:paraId="1F7476FC" w14:textId="77777777" w:rsidR="00D92BB6" w:rsidRPr="007026D1" w:rsidRDefault="00D92BB6" w:rsidP="00CC32B4">
      <w:pPr>
        <w:tabs>
          <w:tab w:val="left" w:pos="720"/>
        </w:tabs>
        <w:spacing w:before="120" w:line="276" w:lineRule="auto"/>
        <w:outlineLvl w:val="0"/>
        <w:rPr>
          <w:rFonts w:cs="Arial"/>
          <w:u w:val="single"/>
        </w:rPr>
      </w:pPr>
      <w:r w:rsidRPr="007026D1">
        <w:rPr>
          <w:rFonts w:cs="Arial"/>
          <w:u w:val="single"/>
        </w:rPr>
        <w:t xml:space="preserve">Monitoring and assessment </w:t>
      </w:r>
    </w:p>
    <w:p w14:paraId="52056056" w14:textId="3C7C7ECB" w:rsidR="00D92BB6" w:rsidRDefault="00B05A85" w:rsidP="00CC32B4">
      <w:pPr>
        <w:pStyle w:val="ListParagraph"/>
        <w:tabs>
          <w:tab w:val="left" w:pos="540"/>
        </w:tabs>
        <w:ind w:left="0"/>
        <w:contextualSpacing w:val="0"/>
      </w:pPr>
      <w:r>
        <w:t>9</w:t>
      </w:r>
      <w:r w:rsidR="00D92BB6">
        <w:t>.</w:t>
      </w:r>
      <w:r w:rsidR="00D92BB6">
        <w:tab/>
      </w:r>
      <w:r w:rsidR="004C30A5">
        <w:t xml:space="preserve">Under the auspice of </w:t>
      </w:r>
      <w:r w:rsidR="00D92BB6" w:rsidRPr="00877B05">
        <w:t>HASEC</w:t>
      </w:r>
      <w:r w:rsidR="004C30A5">
        <w:t>, MIME</w:t>
      </w:r>
      <w:r w:rsidR="00D92BB6" w:rsidRPr="00877B05">
        <w:t xml:space="preserve"> shall develop and maintain appropriate monitoring and assessment</w:t>
      </w:r>
      <w:r w:rsidR="004C30A5">
        <w:t xml:space="preserve"> tools</w:t>
      </w:r>
      <w:r w:rsidR="00D92BB6" w:rsidRPr="00877B05">
        <w:t xml:space="preserve"> in line with the JAMP 2014-2023,</w:t>
      </w:r>
      <w:r w:rsidR="00D92BB6" w:rsidRPr="00614509">
        <w:t xml:space="preserve"> </w:t>
      </w:r>
      <w:r w:rsidR="00D92BB6" w:rsidRPr="00877B05">
        <w:t>and successor programme</w:t>
      </w:r>
      <w:r w:rsidR="00D92BB6">
        <w:t>s</w:t>
      </w:r>
      <w:r w:rsidR="00D92BB6" w:rsidRPr="00877B05">
        <w:t>, paying particular attention to:</w:t>
      </w:r>
    </w:p>
    <w:p w14:paraId="334DA553" w14:textId="77777777" w:rsidR="00D92BB6" w:rsidRPr="00877B05" w:rsidRDefault="00D92BB6" w:rsidP="00CC32B4">
      <w:pPr>
        <w:pStyle w:val="ListParagraph"/>
        <w:numPr>
          <w:ilvl w:val="0"/>
          <w:numId w:val="4"/>
        </w:numPr>
        <w:tabs>
          <w:tab w:val="left" w:pos="540"/>
          <w:tab w:val="left" w:pos="567"/>
        </w:tabs>
        <w:spacing w:before="120"/>
        <w:ind w:hanging="513"/>
        <w:contextualSpacing w:val="0"/>
        <w:rPr>
          <w:b/>
          <w:bCs/>
        </w:rPr>
      </w:pPr>
      <w:r w:rsidRPr="00877B05">
        <w:rPr>
          <w:b/>
          <w:bCs/>
        </w:rPr>
        <w:t>for hazardous substances:</w:t>
      </w:r>
    </w:p>
    <w:p w14:paraId="44CC3213" w14:textId="3ADE241F" w:rsidR="00D92BB6" w:rsidRDefault="004C30A5" w:rsidP="00CC32B4">
      <w:pPr>
        <w:pStyle w:val="ListParagraph"/>
        <w:numPr>
          <w:ilvl w:val="0"/>
          <w:numId w:val="5"/>
        </w:numPr>
        <w:tabs>
          <w:tab w:val="left" w:pos="540"/>
          <w:tab w:val="left" w:pos="567"/>
        </w:tabs>
        <w:spacing w:before="120"/>
        <w:contextualSpacing w:val="0"/>
      </w:pPr>
      <w:r>
        <w:t>Status and time</w:t>
      </w:r>
      <w:r w:rsidR="3D474523">
        <w:t xml:space="preserve"> </w:t>
      </w:r>
      <w:r>
        <w:t>trends</w:t>
      </w:r>
      <w:r w:rsidR="00D92BB6">
        <w:t xml:space="preserve"> of hazardous substances associated with Marine Strategy Framework Directive (MSFD) descriptor 8 and those on the List of Chemicals for Priority Action;</w:t>
      </w:r>
    </w:p>
    <w:p w14:paraId="68A9E355" w14:textId="77777777" w:rsidR="00D92BB6" w:rsidRDefault="004C30A5" w:rsidP="00CC32B4">
      <w:pPr>
        <w:pStyle w:val="ListParagraph"/>
        <w:numPr>
          <w:ilvl w:val="0"/>
          <w:numId w:val="5"/>
        </w:numPr>
        <w:tabs>
          <w:tab w:val="left" w:pos="540"/>
          <w:tab w:val="left" w:pos="567"/>
        </w:tabs>
        <w:spacing w:before="120"/>
        <w:contextualSpacing w:val="0"/>
      </w:pPr>
      <w:r>
        <w:t xml:space="preserve">Assisting HASEC with </w:t>
      </w:r>
      <w:r w:rsidR="00D92BB6">
        <w:t>effective regional coordinated monitoring and assessment, including development and implementation of indicators, targets and monitoring programmes associated with MSFD descriptor 8 and where possible assessment of progress towards achievement of good environmental status;</w:t>
      </w:r>
    </w:p>
    <w:p w14:paraId="58832B50" w14:textId="77777777" w:rsidR="004C30A5" w:rsidRDefault="004C30A5" w:rsidP="00CC32B4">
      <w:pPr>
        <w:pStyle w:val="ListParagraph"/>
        <w:numPr>
          <w:ilvl w:val="0"/>
          <w:numId w:val="5"/>
        </w:numPr>
        <w:tabs>
          <w:tab w:val="left" w:pos="540"/>
          <w:tab w:val="left" w:pos="567"/>
        </w:tabs>
        <w:spacing w:before="120"/>
        <w:contextualSpacing w:val="0"/>
      </w:pPr>
      <w:r>
        <w:t>Further develop the OHAT assessment tool to assist in an effective assessment process and assist in the HARSAT development of a user driven tool, enabling the CPs to do individual monitoring in subregions and on subsets of monitoring data, including supplemental monitoring or screening not previously reported to ICES;</w:t>
      </w:r>
    </w:p>
    <w:p w14:paraId="4AB8EB81" w14:textId="43DF068D" w:rsidR="00B3301A" w:rsidRDefault="004C30A5" w:rsidP="00CC32B4">
      <w:pPr>
        <w:pStyle w:val="ListParagraph"/>
        <w:numPr>
          <w:ilvl w:val="0"/>
          <w:numId w:val="5"/>
        </w:numPr>
        <w:tabs>
          <w:tab w:val="left" w:pos="540"/>
          <w:tab w:val="left" w:pos="567"/>
        </w:tabs>
        <w:spacing w:before="120"/>
        <w:contextualSpacing w:val="0"/>
      </w:pPr>
      <w:r>
        <w:t xml:space="preserve">Assist in coordination of biological effects monitoring, non-target and suspect target screening to optimize knowledge gained for the </w:t>
      </w:r>
      <w:r w:rsidR="00B3301A">
        <w:t>OSPAR Area</w:t>
      </w:r>
      <w:r>
        <w:t xml:space="preserve"> and feed into the process of finding hence forth unknown sources of pollution and unforeseen effects on the biological community, feeding new substances and sources into the list of substances of possible concern;</w:t>
      </w:r>
    </w:p>
    <w:p w14:paraId="5ACA7668" w14:textId="77777777" w:rsidR="00B3301A" w:rsidRDefault="004C30A5" w:rsidP="00CC32B4">
      <w:pPr>
        <w:pStyle w:val="ListParagraph"/>
        <w:numPr>
          <w:ilvl w:val="0"/>
          <w:numId w:val="5"/>
        </w:numPr>
        <w:tabs>
          <w:tab w:val="left" w:pos="540"/>
          <w:tab w:val="left" w:pos="567"/>
        </w:tabs>
        <w:spacing w:before="120"/>
        <w:contextualSpacing w:val="0"/>
      </w:pPr>
      <w:r>
        <w:t>preparing appropriate environmental assessments for their publication via HASEC;</w:t>
      </w:r>
    </w:p>
    <w:p w14:paraId="09E11540" w14:textId="77777777" w:rsidR="00B3301A" w:rsidRDefault="004C30A5" w:rsidP="00CC32B4">
      <w:pPr>
        <w:pStyle w:val="ListParagraph"/>
        <w:numPr>
          <w:ilvl w:val="0"/>
          <w:numId w:val="5"/>
        </w:numPr>
        <w:tabs>
          <w:tab w:val="left" w:pos="540"/>
          <w:tab w:val="left" w:pos="567"/>
        </w:tabs>
        <w:spacing w:before="120"/>
        <w:contextualSpacing w:val="0"/>
      </w:pPr>
      <w:r>
        <w:t>assist HASEC in ensuring assessments are based on results of monitoring, on research related to monitoring and assessment, and on data and information from other sources;</w:t>
      </w:r>
    </w:p>
    <w:p w14:paraId="56F0D7C4" w14:textId="53D8360F" w:rsidR="00B07263" w:rsidRPr="00D92BB6" w:rsidRDefault="00D76E04" w:rsidP="00CC32B4">
      <w:pPr>
        <w:pStyle w:val="ListParagraph"/>
        <w:numPr>
          <w:ilvl w:val="0"/>
          <w:numId w:val="5"/>
        </w:numPr>
        <w:tabs>
          <w:tab w:val="left" w:pos="540"/>
          <w:tab w:val="left" w:pos="567"/>
        </w:tabs>
        <w:spacing w:before="120"/>
        <w:contextualSpacing w:val="0"/>
      </w:pPr>
      <w:r>
        <w:t xml:space="preserve">Cooperate with HELCOM, AMAP and NORMAN, to </w:t>
      </w:r>
      <w:r w:rsidR="004C30A5">
        <w:t>contribut</w:t>
      </w:r>
      <w:r>
        <w:t>e</w:t>
      </w:r>
      <w:r w:rsidR="004C30A5">
        <w:t xml:space="preserve"> and respond to, assessments undertaken by other </w:t>
      </w:r>
      <w:r>
        <w:t>regional sea conventions</w:t>
      </w:r>
      <w:r w:rsidR="004C30A5">
        <w:t xml:space="preserve"> or by fora outside OSPAR</w:t>
      </w:r>
      <w:r w:rsidR="00B3301A">
        <w:t>.</w:t>
      </w:r>
    </w:p>
    <w:sectPr w:rsidR="00B07263" w:rsidRPr="00D92BB6" w:rsidSect="009B063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728C" w14:textId="77777777" w:rsidR="00114F8F" w:rsidRDefault="00114F8F" w:rsidP="0034368A">
      <w:r>
        <w:separator/>
      </w:r>
    </w:p>
  </w:endnote>
  <w:endnote w:type="continuationSeparator" w:id="0">
    <w:p w14:paraId="1A044BCF" w14:textId="77777777" w:rsidR="00114F8F" w:rsidRDefault="00114F8F" w:rsidP="003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ED5" w14:textId="77777777" w:rsidR="002A77A8" w:rsidRDefault="002A7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7" w:type="dxa"/>
        <w:left w:w="0" w:type="dxa"/>
        <w:bottom w:w="57" w:type="dxa"/>
        <w:right w:w="0" w:type="dxa"/>
      </w:tblCellMar>
      <w:tblLook w:val="0000" w:firstRow="0" w:lastRow="0" w:firstColumn="0" w:lastColumn="0" w:noHBand="0" w:noVBand="0"/>
    </w:tblPr>
    <w:tblGrid>
      <w:gridCol w:w="9638"/>
    </w:tblGrid>
    <w:tr w:rsidR="003E7729" w:rsidRPr="003E7729" w14:paraId="020D6150" w14:textId="77777777" w:rsidTr="00784D1D">
      <w:trPr>
        <w:cantSplit/>
        <w:trHeight w:hRule="exact" w:val="284"/>
      </w:trPr>
      <w:tc>
        <w:tcPr>
          <w:tcW w:w="5000" w:type="pct"/>
          <w:tcBorders>
            <w:bottom w:val="single" w:sz="4" w:space="0" w:color="auto"/>
          </w:tcBorders>
        </w:tcPr>
        <w:bookmarkStart w:id="2" w:name="_Hlk130514346"/>
        <w:p w14:paraId="118DA55B" w14:textId="252551D9" w:rsidR="003E7729" w:rsidRPr="003E7729" w:rsidRDefault="003E7729" w:rsidP="003E7729">
          <w:pPr>
            <w:jc w:val="right"/>
            <w:rPr>
              <w:rFonts w:ascii="Calibri" w:eastAsia="Times New Roman" w:hAnsi="Calibri" w:cs="Arial"/>
              <w:kern w:val="0"/>
              <w:sz w:val="20"/>
              <w:szCs w:val="20"/>
              <w:lang w:eastAsia="en-GB"/>
              <w14:ligatures w14:val="none"/>
            </w:rPr>
          </w:pPr>
          <w:r w:rsidRPr="003E7729">
            <w:rPr>
              <w:rFonts w:ascii="Calibri" w:eastAsia="Times New Roman" w:hAnsi="Calibri" w:cs="Times New Roman"/>
              <w:kern w:val="0"/>
              <w:sz w:val="20"/>
              <w:szCs w:val="20"/>
              <w:lang w:eastAsia="en-GB"/>
              <w14:ligatures w14:val="none"/>
            </w:rPr>
            <w:fldChar w:fldCharType="begin"/>
          </w:r>
          <w:r w:rsidRPr="003E7729">
            <w:rPr>
              <w:rFonts w:ascii="Calibri" w:eastAsia="Times New Roman" w:hAnsi="Calibri" w:cs="Times New Roman"/>
              <w:kern w:val="0"/>
              <w:sz w:val="20"/>
              <w:szCs w:val="20"/>
              <w:lang w:eastAsia="en-GB"/>
              <w14:ligatures w14:val="none"/>
            </w:rPr>
            <w:instrText xml:space="preserve"> PAGE </w:instrText>
          </w:r>
          <w:r w:rsidRPr="003E7729">
            <w:rPr>
              <w:rFonts w:ascii="Calibri" w:eastAsia="Times New Roman" w:hAnsi="Calibri" w:cs="Times New Roman"/>
              <w:kern w:val="0"/>
              <w:sz w:val="20"/>
              <w:szCs w:val="20"/>
              <w:lang w:eastAsia="en-GB"/>
              <w14:ligatures w14:val="none"/>
            </w:rPr>
            <w:fldChar w:fldCharType="separate"/>
          </w:r>
          <w:r w:rsidR="00870FDA">
            <w:rPr>
              <w:rFonts w:ascii="Calibri" w:eastAsia="Times New Roman" w:hAnsi="Calibri" w:cs="Times New Roman"/>
              <w:noProof/>
              <w:kern w:val="0"/>
              <w:sz w:val="20"/>
              <w:szCs w:val="20"/>
              <w:lang w:eastAsia="en-GB"/>
              <w14:ligatures w14:val="none"/>
            </w:rPr>
            <w:t>2</w:t>
          </w:r>
          <w:r w:rsidRPr="003E7729">
            <w:rPr>
              <w:rFonts w:ascii="Calibri" w:eastAsia="Times New Roman" w:hAnsi="Calibri" w:cs="Times New Roman"/>
              <w:kern w:val="0"/>
              <w:sz w:val="20"/>
              <w:szCs w:val="20"/>
              <w:lang w:eastAsia="en-GB"/>
              <w14:ligatures w14:val="none"/>
            </w:rPr>
            <w:fldChar w:fldCharType="end"/>
          </w:r>
          <w:r w:rsidRPr="003E7729">
            <w:rPr>
              <w:rFonts w:ascii="Calibri" w:eastAsia="Times New Roman" w:hAnsi="Calibri" w:cs="Times New Roman"/>
              <w:kern w:val="0"/>
              <w:sz w:val="20"/>
              <w:szCs w:val="20"/>
              <w:lang w:eastAsia="en-GB"/>
              <w14:ligatures w14:val="none"/>
            </w:rPr>
            <w:t xml:space="preserve"> of </w:t>
          </w:r>
          <w:r w:rsidRPr="003E7729">
            <w:rPr>
              <w:rFonts w:ascii="Calibri" w:eastAsia="Times New Roman" w:hAnsi="Calibri" w:cs="Times New Roman"/>
              <w:kern w:val="0"/>
              <w:sz w:val="20"/>
              <w:szCs w:val="20"/>
              <w:lang w:eastAsia="en-GB"/>
              <w14:ligatures w14:val="none"/>
            </w:rPr>
            <w:fldChar w:fldCharType="begin"/>
          </w:r>
          <w:r w:rsidRPr="003E7729">
            <w:rPr>
              <w:rFonts w:ascii="Calibri" w:eastAsia="Times New Roman" w:hAnsi="Calibri" w:cs="Times New Roman"/>
              <w:kern w:val="0"/>
              <w:sz w:val="20"/>
              <w:szCs w:val="20"/>
              <w:lang w:eastAsia="en-GB"/>
              <w14:ligatures w14:val="none"/>
            </w:rPr>
            <w:instrText xml:space="preserve"> NUMPAGES </w:instrText>
          </w:r>
          <w:r w:rsidRPr="003E7729">
            <w:rPr>
              <w:rFonts w:ascii="Calibri" w:eastAsia="Times New Roman" w:hAnsi="Calibri" w:cs="Times New Roman"/>
              <w:kern w:val="0"/>
              <w:sz w:val="20"/>
              <w:szCs w:val="20"/>
              <w:lang w:eastAsia="en-GB"/>
              <w14:ligatures w14:val="none"/>
            </w:rPr>
            <w:fldChar w:fldCharType="separate"/>
          </w:r>
          <w:r w:rsidR="00870FDA">
            <w:rPr>
              <w:rFonts w:ascii="Calibri" w:eastAsia="Times New Roman" w:hAnsi="Calibri" w:cs="Times New Roman"/>
              <w:noProof/>
              <w:kern w:val="0"/>
              <w:sz w:val="20"/>
              <w:szCs w:val="20"/>
              <w:lang w:eastAsia="en-GB"/>
              <w14:ligatures w14:val="none"/>
            </w:rPr>
            <w:t>3</w:t>
          </w:r>
          <w:r w:rsidRPr="003E7729">
            <w:rPr>
              <w:rFonts w:ascii="Calibri" w:eastAsia="Times New Roman" w:hAnsi="Calibri" w:cs="Times New Roman"/>
              <w:kern w:val="0"/>
              <w:sz w:val="20"/>
              <w:szCs w:val="20"/>
              <w:lang w:eastAsia="en-GB"/>
              <w14:ligatures w14:val="none"/>
            </w:rPr>
            <w:fldChar w:fldCharType="end"/>
          </w:r>
        </w:p>
      </w:tc>
    </w:tr>
  </w:tbl>
  <w:bookmarkEnd w:id="2"/>
  <w:p w14:paraId="38011ACF" w14:textId="7FA69825" w:rsidR="003E7729" w:rsidRPr="003E7729" w:rsidRDefault="003E7729" w:rsidP="00B05A85">
    <w:pPr>
      <w:tabs>
        <w:tab w:val="right" w:pos="8931"/>
      </w:tabs>
      <w:spacing w:after="120" w:line="276" w:lineRule="auto"/>
      <w:jc w:val="both"/>
      <w:rPr>
        <w:rFonts w:ascii="Calibri" w:eastAsia="Calibri" w:hAnsi="Calibri" w:cs="Times New Roman"/>
        <w:kern w:val="0"/>
        <w:sz w:val="22"/>
        <w:szCs w:val="22"/>
        <w14:ligatures w14:val="none"/>
      </w:rPr>
    </w:pPr>
    <w:r w:rsidRPr="003E7729">
      <w:rPr>
        <w:rFonts w:ascii="Calibri" w:eastAsia="Calibri" w:hAnsi="Calibri" w:cs="Times New Roman"/>
        <w:kern w:val="0"/>
        <w:sz w:val="22"/>
        <w:szCs w:val="22"/>
        <w14:ligatures w14:val="none"/>
      </w:rPr>
      <w:t xml:space="preserve">OSPAR Commission                 </w:t>
    </w:r>
    <w:r w:rsidR="00B05A85">
      <w:rPr>
        <w:rFonts w:ascii="Calibri" w:eastAsia="Calibri" w:hAnsi="Calibri" w:cs="Times New Roman"/>
        <w:kern w:val="0"/>
        <w:sz w:val="22"/>
        <w:szCs w:val="22"/>
        <w14:ligatures w14:val="none"/>
      </w:rPr>
      <w:t xml:space="preserve"> Summary Record – HASEC 2024</w:t>
    </w:r>
    <w:r w:rsidRPr="003E7729">
      <w:rPr>
        <w:rFonts w:ascii="Calibri" w:eastAsia="Calibri" w:hAnsi="Calibri" w:cs="Times New Roman"/>
        <w:kern w:val="0"/>
        <w:sz w:val="22"/>
        <w:szCs w:val="22"/>
        <w14:ligatures w14:val="none"/>
      </w:rPr>
      <w:t xml:space="preserve">                  </w:t>
    </w:r>
    <w:r w:rsidR="00B44CDA">
      <w:rPr>
        <w:rFonts w:ascii="Calibri" w:eastAsia="Calibri" w:hAnsi="Calibri" w:cs="Times New Roman"/>
        <w:kern w:val="0"/>
        <w:sz w:val="22"/>
        <w:szCs w:val="22"/>
        <w14:ligatures w14:val="none"/>
      </w:rPr>
      <w:tab/>
      <w:t xml:space="preserve">HASEC 24/14/01, Annex </w:t>
    </w:r>
    <w:r w:rsidR="00CC32B4">
      <w:rPr>
        <w:rFonts w:ascii="Calibri" w:eastAsia="Calibri" w:hAnsi="Calibri" w:cs="Times New Roman"/>
        <w:kern w:val="0"/>
        <w:sz w:val="22"/>
        <w:szCs w:val="22"/>
        <w14:ligatures w14:val="none"/>
      </w:rPr>
      <w:t xml:space="preserve"> </w:t>
    </w:r>
    <w:r w:rsidR="009B063B">
      <w:rPr>
        <w:rFonts w:ascii="Calibri" w:eastAsia="Calibri" w:hAnsi="Calibri" w:cs="Times New Roman"/>
        <w:kern w:val="0"/>
        <w:sz w:val="22"/>
        <w:szCs w:val="22"/>
        <w14:ligatures w14:val="none"/>
      </w:rPr>
      <w:t>9</w:t>
    </w:r>
    <w:r w:rsidR="00CC32B4">
      <w:rPr>
        <w:rFonts w:ascii="Calibri" w:eastAsia="Calibri" w:hAnsi="Calibri" w:cs="Times New Roman"/>
        <w:kern w:val="0"/>
        <w:sz w:val="22"/>
        <w:szCs w:val="22"/>
        <w14:ligatures w14: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E73D" w14:textId="77777777" w:rsidR="002A77A8" w:rsidRDefault="002A7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8C76" w14:textId="77777777" w:rsidR="00114F8F" w:rsidRDefault="00114F8F" w:rsidP="0034368A">
      <w:r>
        <w:separator/>
      </w:r>
    </w:p>
  </w:footnote>
  <w:footnote w:type="continuationSeparator" w:id="0">
    <w:p w14:paraId="39AB33BA" w14:textId="77777777" w:rsidR="00114F8F" w:rsidRDefault="00114F8F" w:rsidP="0034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49DA" w14:textId="77777777" w:rsidR="002A77A8" w:rsidRDefault="002A7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CFFE" w14:textId="77777777" w:rsidR="002A77A8" w:rsidRDefault="002A7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FFD" w14:textId="77777777" w:rsidR="002A77A8" w:rsidRDefault="002A7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427"/>
    <w:multiLevelType w:val="hybridMultilevel"/>
    <w:tmpl w:val="B942B4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756234"/>
    <w:multiLevelType w:val="hybridMultilevel"/>
    <w:tmpl w:val="797E6EB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BC4EEF"/>
    <w:multiLevelType w:val="hybridMultilevel"/>
    <w:tmpl w:val="DD685C7A"/>
    <w:lvl w:ilvl="0" w:tplc="169263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5CD51D9"/>
    <w:multiLevelType w:val="hybridMultilevel"/>
    <w:tmpl w:val="24EA86FE"/>
    <w:lvl w:ilvl="0" w:tplc="97CE30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A7627E"/>
    <w:multiLevelType w:val="hybridMultilevel"/>
    <w:tmpl w:val="40A21B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BA1DFF"/>
    <w:multiLevelType w:val="hybridMultilevel"/>
    <w:tmpl w:val="54E07C7E"/>
    <w:lvl w:ilvl="0" w:tplc="0CA6A396">
      <w:start w:val="1"/>
      <w:numFmt w:val="decimal"/>
      <w:lvlText w:val="%1."/>
      <w:lvlJc w:val="left"/>
      <w:pPr>
        <w:ind w:left="502"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210359">
    <w:abstractNumId w:val="5"/>
  </w:num>
  <w:num w:numId="2" w16cid:durableId="1358115587">
    <w:abstractNumId w:val="1"/>
  </w:num>
  <w:num w:numId="3" w16cid:durableId="1338000920">
    <w:abstractNumId w:val="0"/>
  </w:num>
  <w:num w:numId="4" w16cid:durableId="1905678757">
    <w:abstractNumId w:val="4"/>
  </w:num>
  <w:num w:numId="5" w16cid:durableId="1724254161">
    <w:abstractNumId w:val="2"/>
  </w:num>
  <w:num w:numId="6" w16cid:durableId="15434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63"/>
    <w:rsid w:val="00022DFC"/>
    <w:rsid w:val="000236B6"/>
    <w:rsid w:val="00062AD5"/>
    <w:rsid w:val="00114F8F"/>
    <w:rsid w:val="00207427"/>
    <w:rsid w:val="002A77A8"/>
    <w:rsid w:val="002D4B3D"/>
    <w:rsid w:val="002E7FBF"/>
    <w:rsid w:val="0034368A"/>
    <w:rsid w:val="003A5944"/>
    <w:rsid w:val="003E7729"/>
    <w:rsid w:val="00413D84"/>
    <w:rsid w:val="004C30A5"/>
    <w:rsid w:val="004F3F0C"/>
    <w:rsid w:val="00537F0C"/>
    <w:rsid w:val="005422BC"/>
    <w:rsid w:val="005F3054"/>
    <w:rsid w:val="006527EE"/>
    <w:rsid w:val="0073619F"/>
    <w:rsid w:val="00795528"/>
    <w:rsid w:val="00870FDA"/>
    <w:rsid w:val="008E173B"/>
    <w:rsid w:val="009301EF"/>
    <w:rsid w:val="0096743D"/>
    <w:rsid w:val="009962B0"/>
    <w:rsid w:val="009A7AEB"/>
    <w:rsid w:val="009B063B"/>
    <w:rsid w:val="00A511D7"/>
    <w:rsid w:val="00A820B5"/>
    <w:rsid w:val="00B05A85"/>
    <w:rsid w:val="00B07263"/>
    <w:rsid w:val="00B3301A"/>
    <w:rsid w:val="00B44CDA"/>
    <w:rsid w:val="00B6069F"/>
    <w:rsid w:val="00CB2BD0"/>
    <w:rsid w:val="00CC32B4"/>
    <w:rsid w:val="00CF7F57"/>
    <w:rsid w:val="00D0291B"/>
    <w:rsid w:val="00D76E04"/>
    <w:rsid w:val="00D86501"/>
    <w:rsid w:val="00D92BB6"/>
    <w:rsid w:val="00E22C3B"/>
    <w:rsid w:val="00ED05CF"/>
    <w:rsid w:val="00F47650"/>
    <w:rsid w:val="00F555A9"/>
    <w:rsid w:val="00FA05CB"/>
    <w:rsid w:val="086B18F4"/>
    <w:rsid w:val="0BA2B9B6"/>
    <w:rsid w:val="1148D7E9"/>
    <w:rsid w:val="2E2C43E4"/>
    <w:rsid w:val="3D474523"/>
    <w:rsid w:val="3FE62595"/>
    <w:rsid w:val="4E8A1ADC"/>
    <w:rsid w:val="59CDCB47"/>
    <w:rsid w:val="5E6561F1"/>
    <w:rsid w:val="7A8DA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7056"/>
  <w15:chartTrackingRefBased/>
  <w15:docId w15:val="{ADC2C707-ED9C-7D4B-B9BC-804F9AE8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BodyText"/>
    <w:link w:val="Heading1Char"/>
    <w:qFormat/>
    <w:rsid w:val="0034368A"/>
    <w:pPr>
      <w:keepLines w:val="0"/>
      <w:spacing w:before="200" w:after="120" w:line="276" w:lineRule="auto"/>
      <w:jc w:val="both"/>
      <w:outlineLvl w:val="0"/>
    </w:pPr>
    <w:rPr>
      <w:rFonts w:ascii="Calibri" w:eastAsia="Times New Roman" w:hAnsi="Calibri" w:cs="Times New Roman"/>
      <w:noProof/>
      <w:color w:val="auto"/>
      <w:kern w:val="0"/>
      <w:lang w:eastAsia="en-GB"/>
      <w14:ligatures w14:val="none"/>
    </w:rPr>
  </w:style>
  <w:style w:type="paragraph" w:styleId="Heading2">
    <w:name w:val="heading 2"/>
    <w:basedOn w:val="Normal"/>
    <w:next w:val="Normal"/>
    <w:link w:val="Heading2Char"/>
    <w:uiPriority w:val="9"/>
    <w:semiHidden/>
    <w:unhideWhenUsed/>
    <w:qFormat/>
    <w:rsid w:val="003436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68A"/>
    <w:rPr>
      <w:rFonts w:ascii="Calibri" w:eastAsia="Times New Roman" w:hAnsi="Calibri" w:cs="Times New Roman"/>
      <w:noProof/>
      <w:kern w:val="0"/>
      <w:sz w:val="26"/>
      <w:szCs w:val="26"/>
      <w:lang w:val="en-GB" w:eastAsia="en-GB"/>
      <w14:ligatures w14:val="none"/>
    </w:rPr>
  </w:style>
  <w:style w:type="paragraph" w:styleId="FootnoteText">
    <w:name w:val="footnote text"/>
    <w:link w:val="FootnoteTextChar"/>
    <w:rsid w:val="0034368A"/>
    <w:pPr>
      <w:spacing w:line="200" w:lineRule="atLeast"/>
      <w:ind w:left="1134"/>
    </w:pPr>
    <w:rPr>
      <w:rFonts w:ascii="Arial" w:eastAsia="Times New Roman" w:hAnsi="Arial" w:cs="Times New Roman"/>
      <w:noProof/>
      <w:kern w:val="0"/>
      <w:sz w:val="16"/>
      <w:szCs w:val="20"/>
      <w:lang w:eastAsia="en-GB"/>
      <w14:ligatures w14:val="none"/>
    </w:rPr>
  </w:style>
  <w:style w:type="character" w:customStyle="1" w:styleId="FootnoteTextChar">
    <w:name w:val="Footnote Text Char"/>
    <w:basedOn w:val="DefaultParagraphFont"/>
    <w:link w:val="FootnoteText"/>
    <w:rsid w:val="0034368A"/>
    <w:rPr>
      <w:rFonts w:ascii="Arial" w:eastAsia="Times New Roman" w:hAnsi="Arial" w:cs="Times New Roman"/>
      <w:noProof/>
      <w:kern w:val="0"/>
      <w:sz w:val="16"/>
      <w:szCs w:val="20"/>
      <w:lang w:val="en-GB" w:eastAsia="en-GB"/>
      <w14:ligatures w14:val="none"/>
    </w:rPr>
  </w:style>
  <w:style w:type="character" w:styleId="FootnoteReference">
    <w:name w:val="footnote reference"/>
    <w:aliases w:val="stylish"/>
    <w:rsid w:val="0034368A"/>
    <w:rPr>
      <w:vertAlign w:val="superscript"/>
    </w:rPr>
  </w:style>
  <w:style w:type="paragraph" w:styleId="ListParagraph">
    <w:name w:val="List Paragraph"/>
    <w:aliases w:val="Heading 2_sj,List Paragraph1,Listenabsatz1,_Bullet,Parágrafo da Lista,Normal bullet 2,Bullet list,Dot pt"/>
    <w:basedOn w:val="Normal"/>
    <w:link w:val="ListParagraphChar"/>
    <w:uiPriority w:val="34"/>
    <w:qFormat/>
    <w:rsid w:val="0034368A"/>
    <w:pPr>
      <w:spacing w:after="120" w:line="276" w:lineRule="auto"/>
      <w:ind w:left="720"/>
      <w:contextualSpacing/>
      <w:jc w:val="both"/>
    </w:pPr>
    <w:rPr>
      <w:rFonts w:ascii="Calibri" w:eastAsia="Calibri" w:hAnsi="Calibri" w:cs="Times New Roman"/>
      <w:kern w:val="0"/>
      <w:sz w:val="22"/>
      <w:szCs w:val="22"/>
      <w14:ligatures w14:val="none"/>
    </w:rPr>
  </w:style>
  <w:style w:type="character" w:customStyle="1" w:styleId="ListParagraphChar">
    <w:name w:val="List Paragraph Char"/>
    <w:aliases w:val="Heading 2_sj Char,List Paragraph1 Char,Listenabsatz1 Char,_Bullet Char,Parágrafo da Lista Char,Normal bullet 2 Char,Bullet list Char,Dot pt Char"/>
    <w:link w:val="ListParagraph"/>
    <w:uiPriority w:val="34"/>
    <w:qFormat/>
    <w:locked/>
    <w:rsid w:val="0034368A"/>
    <w:rPr>
      <w:rFonts w:ascii="Calibri" w:eastAsia="Calibri" w:hAnsi="Calibri" w:cs="Times New Roman"/>
      <w:kern w:val="0"/>
      <w:sz w:val="22"/>
      <w:szCs w:val="22"/>
      <w:lang w:val="en-GB"/>
      <w14:ligatures w14:val="none"/>
    </w:rPr>
  </w:style>
  <w:style w:type="character" w:customStyle="1" w:styleId="Heading2Char">
    <w:name w:val="Heading 2 Char"/>
    <w:basedOn w:val="DefaultParagraphFont"/>
    <w:link w:val="Heading2"/>
    <w:uiPriority w:val="9"/>
    <w:semiHidden/>
    <w:rsid w:val="0034368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34368A"/>
    <w:pPr>
      <w:spacing w:after="120"/>
    </w:pPr>
  </w:style>
  <w:style w:type="character" w:customStyle="1" w:styleId="BodyTextChar">
    <w:name w:val="Body Text Char"/>
    <w:basedOn w:val="DefaultParagraphFont"/>
    <w:link w:val="BodyText"/>
    <w:uiPriority w:val="99"/>
    <w:semiHidden/>
    <w:rsid w:val="0034368A"/>
  </w:style>
  <w:style w:type="character" w:styleId="CommentReference">
    <w:name w:val="annotation reference"/>
    <w:basedOn w:val="DefaultParagraphFont"/>
    <w:uiPriority w:val="99"/>
    <w:semiHidden/>
    <w:unhideWhenUsed/>
    <w:rsid w:val="00537F0C"/>
    <w:rPr>
      <w:sz w:val="16"/>
      <w:szCs w:val="16"/>
    </w:rPr>
  </w:style>
  <w:style w:type="paragraph" w:styleId="CommentText">
    <w:name w:val="annotation text"/>
    <w:basedOn w:val="Normal"/>
    <w:link w:val="CommentTextChar"/>
    <w:uiPriority w:val="99"/>
    <w:semiHidden/>
    <w:unhideWhenUsed/>
    <w:rsid w:val="00537F0C"/>
    <w:rPr>
      <w:sz w:val="20"/>
      <w:szCs w:val="20"/>
    </w:rPr>
  </w:style>
  <w:style w:type="character" w:customStyle="1" w:styleId="CommentTextChar">
    <w:name w:val="Comment Text Char"/>
    <w:basedOn w:val="DefaultParagraphFont"/>
    <w:link w:val="CommentText"/>
    <w:uiPriority w:val="99"/>
    <w:semiHidden/>
    <w:rsid w:val="00537F0C"/>
    <w:rPr>
      <w:sz w:val="20"/>
      <w:szCs w:val="20"/>
    </w:rPr>
  </w:style>
  <w:style w:type="paragraph" w:styleId="CommentSubject">
    <w:name w:val="annotation subject"/>
    <w:basedOn w:val="CommentText"/>
    <w:next w:val="CommentText"/>
    <w:link w:val="CommentSubjectChar"/>
    <w:uiPriority w:val="99"/>
    <w:semiHidden/>
    <w:unhideWhenUsed/>
    <w:rsid w:val="00537F0C"/>
    <w:rPr>
      <w:b/>
      <w:bCs/>
    </w:rPr>
  </w:style>
  <w:style w:type="character" w:customStyle="1" w:styleId="CommentSubjectChar">
    <w:name w:val="Comment Subject Char"/>
    <w:basedOn w:val="CommentTextChar"/>
    <w:link w:val="CommentSubject"/>
    <w:uiPriority w:val="99"/>
    <w:semiHidden/>
    <w:rsid w:val="00537F0C"/>
    <w:rPr>
      <w:b/>
      <w:bCs/>
      <w:sz w:val="20"/>
      <w:szCs w:val="20"/>
    </w:rPr>
  </w:style>
  <w:style w:type="paragraph" w:styleId="BalloonText">
    <w:name w:val="Balloon Text"/>
    <w:basedOn w:val="Normal"/>
    <w:link w:val="BalloonTextChar"/>
    <w:uiPriority w:val="99"/>
    <w:semiHidden/>
    <w:unhideWhenUsed/>
    <w:rsid w:val="0053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0C"/>
    <w:rPr>
      <w:rFonts w:ascii="Segoe UI" w:hAnsi="Segoe UI" w:cs="Segoe UI"/>
      <w:sz w:val="18"/>
      <w:szCs w:val="18"/>
    </w:rPr>
  </w:style>
  <w:style w:type="paragraph" w:styleId="Revision">
    <w:name w:val="Revision"/>
    <w:hidden/>
    <w:uiPriority w:val="99"/>
    <w:semiHidden/>
    <w:rsid w:val="003E7729"/>
  </w:style>
  <w:style w:type="table" w:styleId="TableGrid">
    <w:name w:val="Table Grid"/>
    <w:basedOn w:val="TableNormal"/>
    <w:uiPriority w:val="59"/>
    <w:rsid w:val="003E7729"/>
    <w:rPr>
      <w:kern w:val="0"/>
      <w:sz w:val="22"/>
      <w:szCs w:val="22"/>
      <w:lang w:val="pt-P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729"/>
    <w:pPr>
      <w:tabs>
        <w:tab w:val="center" w:pos="4513"/>
        <w:tab w:val="right" w:pos="9026"/>
      </w:tabs>
    </w:pPr>
  </w:style>
  <w:style w:type="character" w:customStyle="1" w:styleId="HeaderChar">
    <w:name w:val="Header Char"/>
    <w:basedOn w:val="DefaultParagraphFont"/>
    <w:link w:val="Header"/>
    <w:uiPriority w:val="99"/>
    <w:rsid w:val="003E7729"/>
  </w:style>
  <w:style w:type="paragraph" w:styleId="Footer">
    <w:name w:val="footer"/>
    <w:basedOn w:val="Normal"/>
    <w:link w:val="FooterChar"/>
    <w:uiPriority w:val="99"/>
    <w:unhideWhenUsed/>
    <w:rsid w:val="003E7729"/>
    <w:pPr>
      <w:tabs>
        <w:tab w:val="center" w:pos="4513"/>
        <w:tab w:val="right" w:pos="9026"/>
      </w:tabs>
    </w:pPr>
  </w:style>
  <w:style w:type="character" w:customStyle="1" w:styleId="FooterChar">
    <w:name w:val="Footer Char"/>
    <w:basedOn w:val="DefaultParagraphFont"/>
    <w:link w:val="Footer"/>
    <w:uiPriority w:val="99"/>
    <w:rsid w:val="003E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AEADD8F42844BA02F4C878FC3EC4A" ma:contentTypeVersion="11" ma:contentTypeDescription="Create a new document." ma:contentTypeScope="" ma:versionID="668b8fb35a94b5cd9793999236e8045c">
  <xsd:schema xmlns:xsd="http://www.w3.org/2001/XMLSchema" xmlns:xs="http://www.w3.org/2001/XMLSchema" xmlns:p="http://schemas.microsoft.com/office/2006/metadata/properties" xmlns:ns2="c8ed80f8-cf0b-45f2-b9b9-06f0b0f3584c" xmlns:ns3="981693c3-3f5b-4db3-995a-25a5e28820ab" targetNamespace="http://schemas.microsoft.com/office/2006/metadata/properties" ma:root="true" ma:fieldsID="26e66c500840a85c25ba1061729bb677" ns2:_="" ns3:_="">
    <xsd:import namespace="c8ed80f8-cf0b-45f2-b9b9-06f0b0f3584c"/>
    <xsd:import namespace="981693c3-3f5b-4db3-995a-25a5e28820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d80f8-cf0b-45f2-b9b9-06f0b0f35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693c3-3f5b-4db3-995a-25a5e28820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D1F9-19C8-4409-BF22-3B47B119B8E5}">
  <ds:schemaRefs>
    <ds:schemaRef ds:uri="c8ed80f8-cf0b-45f2-b9b9-06f0b0f3584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981693c3-3f5b-4db3-995a-25a5e28820a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5DD830-EB02-4CFE-B2F1-72FEDE87899F}">
  <ds:schemaRefs>
    <ds:schemaRef ds:uri="http://schemas.microsoft.com/sharepoint/v3/contenttype/forms"/>
  </ds:schemaRefs>
</ds:datastoreItem>
</file>

<file path=customXml/itemProps3.xml><?xml version="1.0" encoding="utf-8"?>
<ds:datastoreItem xmlns:ds="http://schemas.openxmlformats.org/officeDocument/2006/customXml" ds:itemID="{BCC760EF-27CF-4A77-B21C-50C20D2D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d80f8-cf0b-45f2-b9b9-06f0b0f3584c"/>
    <ds:schemaRef ds:uri="981693c3-3f5b-4db3-995a-25a5e2882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704</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Mørk Larsen</dc:creator>
  <cp:keywords/>
  <dc:description/>
  <cp:lastModifiedBy>Barbara Middleton</cp:lastModifiedBy>
  <cp:revision>10</cp:revision>
  <dcterms:created xsi:type="dcterms:W3CDTF">2024-01-09T12:02:00Z</dcterms:created>
  <dcterms:modified xsi:type="dcterms:W3CDTF">2024-04-15T12:29:00Z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0x010100F28AEADD8F42844BA02F4C878FC3EC4A</vt:lpwstr>
  </property>
  <property fmtid="{D5CDD505-2E9C-101B-9397-08002B2CF9AE}" pid="3" name="MediaServiceImageTags">
    <vt:lpwstr/>
  </property>
</Properties>
</file>