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8359C" w14:textId="185DB8A8" w:rsidR="00071437" w:rsidRDefault="00C0530A" w:rsidP="006D2C62">
      <w:pPr>
        <w:tabs>
          <w:tab w:val="clear" w:pos="567"/>
        </w:tabs>
        <w:spacing w:after="160" w:line="259" w:lineRule="auto"/>
        <w:ind w:left="720" w:hanging="360"/>
        <w:contextualSpacing/>
        <w:jc w:val="right"/>
        <w:rPr>
          <w:rFonts w:cs="Calibri"/>
          <w:sz w:val="24"/>
          <w:szCs w:val="24"/>
          <w:lang w:eastAsia="zh-CN"/>
        </w:rPr>
      </w:pPr>
      <w:r>
        <w:rPr>
          <w:rFonts w:cs="Calibri"/>
          <w:sz w:val="24"/>
          <w:szCs w:val="24"/>
          <w:lang w:eastAsia="zh-CN"/>
        </w:rPr>
        <w:t xml:space="preserve">Annex </w:t>
      </w:r>
      <w:r w:rsidR="00BF551D">
        <w:rPr>
          <w:rFonts w:cs="Calibri"/>
          <w:sz w:val="24"/>
          <w:szCs w:val="24"/>
          <w:lang w:eastAsia="zh-CN"/>
        </w:rPr>
        <w:t>8</w:t>
      </w:r>
    </w:p>
    <w:p w14:paraId="35A955B2" w14:textId="5EF2B1EF" w:rsidR="00BF551D" w:rsidRDefault="00BF551D" w:rsidP="006D2C62">
      <w:pPr>
        <w:tabs>
          <w:tab w:val="clear" w:pos="567"/>
        </w:tabs>
        <w:spacing w:after="160" w:line="259" w:lineRule="auto"/>
        <w:ind w:left="720" w:hanging="360"/>
        <w:contextualSpacing/>
        <w:jc w:val="right"/>
        <w:rPr>
          <w:rFonts w:cs="Calibri"/>
          <w:sz w:val="24"/>
          <w:szCs w:val="24"/>
          <w:lang w:eastAsia="zh-CN"/>
        </w:rPr>
      </w:pPr>
      <w:r>
        <w:rPr>
          <w:rFonts w:cs="Calibri"/>
          <w:sz w:val="24"/>
          <w:szCs w:val="24"/>
          <w:lang w:eastAsia="zh-CN"/>
        </w:rPr>
        <w:t xml:space="preserve">(Ref. § </w:t>
      </w:r>
      <w:r w:rsidR="005A2F7F">
        <w:rPr>
          <w:rFonts w:cs="Calibri"/>
          <w:sz w:val="24"/>
          <w:szCs w:val="24"/>
          <w:lang w:eastAsia="zh-CN"/>
        </w:rPr>
        <w:t>9.18b</w:t>
      </w:r>
      <w:r>
        <w:rPr>
          <w:rFonts w:cs="Calibri"/>
          <w:sz w:val="24"/>
          <w:szCs w:val="24"/>
          <w:lang w:eastAsia="zh-CN"/>
        </w:rPr>
        <w:t>)</w:t>
      </w:r>
    </w:p>
    <w:p w14:paraId="47229341" w14:textId="4E615501" w:rsidR="00C0530A" w:rsidRDefault="00C0530A" w:rsidP="00C0530A">
      <w:pPr>
        <w:tabs>
          <w:tab w:val="clear" w:pos="567"/>
        </w:tabs>
        <w:spacing w:after="160" w:line="259" w:lineRule="auto"/>
        <w:ind w:left="567" w:hanging="567"/>
        <w:contextualSpacing/>
        <w:jc w:val="left"/>
        <w:rPr>
          <w:rFonts w:cs="Calibri"/>
          <w:sz w:val="24"/>
          <w:szCs w:val="24"/>
          <w:lang w:eastAsia="zh-CN"/>
        </w:rPr>
      </w:pPr>
      <w:r>
        <w:rPr>
          <w:rFonts w:cs="Calibri"/>
          <w:sz w:val="24"/>
          <w:szCs w:val="24"/>
          <w:lang w:eastAsia="zh-CN"/>
        </w:rPr>
        <w:t>OSPAR Convention for the Protection of the Marine Environment of the North-East Atlantic</w:t>
      </w:r>
    </w:p>
    <w:p w14:paraId="2EF46E50" w14:textId="4F3B9EEB" w:rsidR="00C0530A" w:rsidRDefault="00C0530A" w:rsidP="00C0530A">
      <w:pPr>
        <w:tabs>
          <w:tab w:val="clear" w:pos="567"/>
        </w:tabs>
        <w:spacing w:after="160" w:line="259" w:lineRule="auto"/>
        <w:ind w:left="567" w:hanging="567"/>
        <w:contextualSpacing/>
        <w:jc w:val="left"/>
        <w:rPr>
          <w:rFonts w:cs="Calibri"/>
          <w:sz w:val="24"/>
          <w:szCs w:val="24"/>
          <w:lang w:eastAsia="zh-CN"/>
        </w:rPr>
      </w:pPr>
      <w:r>
        <w:rPr>
          <w:rFonts w:cs="Calibri"/>
          <w:sz w:val="24"/>
          <w:szCs w:val="24"/>
          <w:lang w:eastAsia="zh-CN"/>
        </w:rPr>
        <w:t>Meeting of the OSPAR Commission</w:t>
      </w:r>
    </w:p>
    <w:p w14:paraId="396C4574" w14:textId="5E02F2B8" w:rsidR="00C0530A" w:rsidRDefault="00C0530A" w:rsidP="00C0530A">
      <w:pPr>
        <w:tabs>
          <w:tab w:val="clear" w:pos="567"/>
        </w:tabs>
        <w:spacing w:after="160" w:line="259" w:lineRule="auto"/>
        <w:ind w:left="567" w:hanging="567"/>
        <w:contextualSpacing/>
        <w:jc w:val="left"/>
        <w:rPr>
          <w:rFonts w:cs="Calibri"/>
          <w:sz w:val="24"/>
          <w:szCs w:val="24"/>
          <w:lang w:eastAsia="zh-CN"/>
        </w:rPr>
      </w:pPr>
      <w:r>
        <w:rPr>
          <w:rFonts w:cs="Calibri"/>
          <w:sz w:val="24"/>
          <w:szCs w:val="24"/>
          <w:lang w:eastAsia="zh-CN"/>
        </w:rPr>
        <w:t>Berlin: 24-28 June 2024</w:t>
      </w:r>
    </w:p>
    <w:p w14:paraId="07DA7B15" w14:textId="0B10215C" w:rsidR="00C0530A" w:rsidRDefault="00C0530A" w:rsidP="00C0530A">
      <w:pPr>
        <w:tabs>
          <w:tab w:val="clear" w:pos="567"/>
        </w:tabs>
        <w:spacing w:after="160" w:line="259" w:lineRule="auto"/>
        <w:ind w:left="567" w:hanging="567"/>
        <w:contextualSpacing/>
        <w:jc w:val="left"/>
        <w:rPr>
          <w:rFonts w:cs="Calibri"/>
          <w:sz w:val="24"/>
          <w:szCs w:val="24"/>
          <w:lang w:eastAsia="zh-CN"/>
        </w:rPr>
      </w:pPr>
      <w:r>
        <w:rPr>
          <w:rFonts w:cs="Calibri"/>
          <w:sz w:val="24"/>
          <w:szCs w:val="24"/>
          <w:lang w:eastAsia="zh-CN"/>
        </w:rPr>
        <w:t>______________________________________________________</w:t>
      </w:r>
      <w:r w:rsidR="007D2CD4">
        <w:rPr>
          <w:rFonts w:cs="Calibri"/>
          <w:sz w:val="24"/>
          <w:szCs w:val="24"/>
          <w:lang w:eastAsia="zh-CN"/>
        </w:rPr>
        <w:t>__________________________</w:t>
      </w:r>
    </w:p>
    <w:p w14:paraId="16FB7839" w14:textId="77777777" w:rsidR="007D2CD4" w:rsidRPr="00071437" w:rsidRDefault="007D2CD4" w:rsidP="00C0530A">
      <w:pPr>
        <w:tabs>
          <w:tab w:val="clear" w:pos="567"/>
        </w:tabs>
        <w:spacing w:after="160" w:line="259" w:lineRule="auto"/>
        <w:ind w:left="567" w:hanging="567"/>
        <w:contextualSpacing/>
        <w:jc w:val="left"/>
        <w:rPr>
          <w:rFonts w:cs="Calibri"/>
          <w:sz w:val="24"/>
          <w:szCs w:val="24"/>
          <w:lang w:eastAsia="zh-CN"/>
        </w:rPr>
      </w:pPr>
    </w:p>
    <w:p w14:paraId="7EAD9223" w14:textId="77777777" w:rsidR="00071437" w:rsidRPr="00071437" w:rsidRDefault="00071437" w:rsidP="00071437">
      <w:pPr>
        <w:tabs>
          <w:tab w:val="clear" w:pos="567"/>
        </w:tabs>
        <w:spacing w:after="200"/>
        <w:jc w:val="left"/>
        <w:rPr>
          <w:rFonts w:eastAsia="Calibri"/>
          <w:kern w:val="2"/>
          <w:sz w:val="28"/>
          <w:szCs w:val="28"/>
          <w14:ligatures w14:val="standardContextual"/>
        </w:rPr>
      </w:pPr>
      <w:bookmarkStart w:id="0" w:name="_Hlk170368217"/>
      <w:r w:rsidRPr="00071437">
        <w:rPr>
          <w:rFonts w:eastAsia="Calibri"/>
          <w:kern w:val="2"/>
          <w:sz w:val="28"/>
          <w:szCs w:val="28"/>
          <w14:ligatures w14:val="standardContextual"/>
        </w:rPr>
        <w:t>Terms of reference for OSPAR task group on aquaculture 2024 - 2026</w:t>
      </w:r>
    </w:p>
    <w:p w14:paraId="63CC3B34" w14:textId="77777777" w:rsidR="00071437" w:rsidRPr="00071437" w:rsidRDefault="00071437" w:rsidP="00071437">
      <w:pPr>
        <w:tabs>
          <w:tab w:val="clear" w:pos="567"/>
        </w:tabs>
        <w:spacing w:after="200"/>
        <w:jc w:val="left"/>
        <w:rPr>
          <w:rFonts w:eastAsia="Calibri"/>
          <w:kern w:val="2"/>
          <w:szCs w:val="22"/>
          <w14:ligatures w14:val="standardContextual"/>
        </w:rPr>
      </w:pPr>
    </w:p>
    <w:p w14:paraId="2D0828B6" w14:textId="77777777" w:rsidR="00071437" w:rsidRPr="00281B48" w:rsidRDefault="00071437" w:rsidP="00281B48">
      <w:pPr>
        <w:tabs>
          <w:tab w:val="clear" w:pos="567"/>
        </w:tabs>
        <w:spacing w:before="360"/>
        <w:jc w:val="left"/>
        <w:rPr>
          <w:rFonts w:eastAsia="Calibri"/>
          <w:b/>
          <w:bCs/>
          <w:kern w:val="2"/>
          <w:szCs w:val="22"/>
          <w14:ligatures w14:val="standardContextual"/>
        </w:rPr>
      </w:pPr>
      <w:r w:rsidRPr="00281B48">
        <w:rPr>
          <w:rFonts w:eastAsia="Calibri"/>
          <w:b/>
          <w:bCs/>
          <w:kern w:val="2"/>
          <w:szCs w:val="22"/>
          <w14:ligatures w14:val="standardContextual"/>
        </w:rPr>
        <w:t>Background</w:t>
      </w:r>
    </w:p>
    <w:p w14:paraId="2D0E9A65" w14:textId="2150794C" w:rsidR="00071437" w:rsidRPr="00071437" w:rsidRDefault="00071437" w:rsidP="00071437">
      <w:pPr>
        <w:tabs>
          <w:tab w:val="clear" w:pos="567"/>
        </w:tabs>
        <w:spacing w:after="200"/>
        <w:jc w:val="left"/>
        <w:rPr>
          <w:rFonts w:eastAsia="Calibri"/>
          <w:kern w:val="2"/>
          <w:szCs w:val="22"/>
          <w14:ligatures w14:val="standardContextual"/>
        </w:rPr>
      </w:pPr>
      <w:r w:rsidRPr="00071437">
        <w:rPr>
          <w:rFonts w:eastAsia="Calibri"/>
          <w:kern w:val="2"/>
          <w:szCs w:val="22"/>
          <w14:ligatures w14:val="standardContextual"/>
        </w:rPr>
        <w:t xml:space="preserve">OSPAR’s 2023 Quality Status Report identified aquaculture as a medium-high intensity human activity in all OSPAR regions other than Region V.  The activity was expected to increase in all regions up to and beyond 2030.  Aquaculture is already increasing along the coasts and there are prospects for aquaculture expansion into new areas and environments, notably offshore (e.g., for salmon, mussels and oysters), and involving new species (e.g., seaweed). Land-based facilities with recirculating water (RAS), currently a niche part of aquaculture in the North-East Atlantic, are also likely to grow. Reporting on direct discharges in OSPAR revealed a substantial increase in the inputs of nutrients and heavy metals in particular in region I which can be attributed to aquaculture. The most recent reporting round on PARCOM recommendation </w:t>
      </w:r>
      <w:r w:rsidR="009B121A">
        <w:rPr>
          <w:rFonts w:eastAsia="Calibri"/>
          <w:kern w:val="2"/>
          <w:szCs w:val="22"/>
          <w14:ligatures w14:val="standardContextual"/>
        </w:rPr>
        <w:t xml:space="preserve">94/6 </w:t>
      </w:r>
      <w:r w:rsidRPr="00071437">
        <w:rPr>
          <w:rFonts w:eastAsia="Calibri"/>
          <w:kern w:val="2"/>
          <w:szCs w:val="22"/>
          <w14:ligatures w14:val="standardContextual"/>
        </w:rPr>
        <w:t>in OSPAR showed that large amounts of potentially toxic substances are still in use by the aquaculture industry.</w:t>
      </w:r>
    </w:p>
    <w:p w14:paraId="2445EB16" w14:textId="77777777" w:rsidR="00071437" w:rsidRPr="00071437" w:rsidRDefault="00071437" w:rsidP="00071437">
      <w:pPr>
        <w:tabs>
          <w:tab w:val="clear" w:pos="567"/>
        </w:tabs>
        <w:spacing w:after="200"/>
        <w:jc w:val="left"/>
        <w:rPr>
          <w:rFonts w:eastAsia="Calibri"/>
          <w:kern w:val="2"/>
          <w:szCs w:val="22"/>
          <w14:ligatures w14:val="standardContextual"/>
        </w:rPr>
      </w:pPr>
      <w:r w:rsidRPr="00071437">
        <w:rPr>
          <w:rFonts w:eastAsia="Calibri"/>
          <w:kern w:val="2"/>
          <w:szCs w:val="22"/>
          <w14:ligatures w14:val="standardContextual"/>
        </w:rPr>
        <w:t>Pressures from open cage marine finfish cultures, RAS, or shellfish aquaculture can include</w:t>
      </w:r>
      <w:r w:rsidRPr="00071437">
        <w:rPr>
          <w:rFonts w:eastAsia="Calibri"/>
          <w:kern w:val="2"/>
          <w:szCs w:val="22"/>
          <w:vertAlign w:val="superscript"/>
          <w14:ligatures w14:val="standardContextual"/>
        </w:rPr>
        <w:footnoteReference w:id="1"/>
      </w:r>
      <w:r w:rsidRPr="00071437">
        <w:rPr>
          <w:rFonts w:eastAsia="Calibri"/>
          <w:kern w:val="2"/>
          <w:szCs w:val="22"/>
          <w14:ligatures w14:val="standardContextual"/>
        </w:rPr>
        <w:t>:</w:t>
      </w:r>
    </w:p>
    <w:p w14:paraId="29586F07" w14:textId="77777777" w:rsidR="00071437" w:rsidRPr="00071437" w:rsidRDefault="00071437" w:rsidP="00071437">
      <w:pPr>
        <w:numPr>
          <w:ilvl w:val="0"/>
          <w:numId w:val="38"/>
        </w:numPr>
        <w:tabs>
          <w:tab w:val="clear" w:pos="567"/>
          <w:tab w:val="left" w:pos="357"/>
        </w:tabs>
        <w:spacing w:after="200"/>
        <w:contextualSpacing/>
        <w:jc w:val="left"/>
        <w:rPr>
          <w:rFonts w:eastAsia="Calibri"/>
          <w:kern w:val="2"/>
          <w:szCs w:val="22"/>
          <w14:ligatures w14:val="standardContextual"/>
        </w:rPr>
      </w:pPr>
      <w:r w:rsidRPr="00071437">
        <w:rPr>
          <w:rFonts w:eastAsia="Calibri"/>
          <w:kern w:val="2"/>
          <w:szCs w:val="22"/>
          <w14:ligatures w14:val="standardContextual"/>
        </w:rPr>
        <w:t>input of nutrients from diffuse sources, point sources, atmospheric deposition - nutrient enrichment from fish feeds;</w:t>
      </w:r>
    </w:p>
    <w:p w14:paraId="40A836AF" w14:textId="77777777" w:rsidR="00071437" w:rsidRPr="00071437" w:rsidRDefault="00071437" w:rsidP="00071437">
      <w:pPr>
        <w:numPr>
          <w:ilvl w:val="0"/>
          <w:numId w:val="38"/>
        </w:numPr>
        <w:tabs>
          <w:tab w:val="clear" w:pos="567"/>
          <w:tab w:val="left" w:pos="357"/>
        </w:tabs>
        <w:spacing w:after="200"/>
        <w:contextualSpacing/>
        <w:jc w:val="left"/>
        <w:rPr>
          <w:rFonts w:eastAsia="Calibri"/>
          <w:kern w:val="2"/>
          <w:szCs w:val="22"/>
          <w14:ligatures w14:val="standardContextual"/>
        </w:rPr>
      </w:pPr>
      <w:r w:rsidRPr="00071437">
        <w:rPr>
          <w:rFonts w:eastAsia="Calibri"/>
          <w:kern w:val="2"/>
          <w:szCs w:val="22"/>
          <w14:ligatures w14:val="standardContextual"/>
        </w:rPr>
        <w:t>input of genetically modified species and translocation of native species - escaped or introduced fish;</w:t>
      </w:r>
    </w:p>
    <w:p w14:paraId="1046BAEF" w14:textId="77777777" w:rsidR="00071437" w:rsidRPr="00071437" w:rsidRDefault="00071437" w:rsidP="00071437">
      <w:pPr>
        <w:numPr>
          <w:ilvl w:val="0"/>
          <w:numId w:val="38"/>
        </w:numPr>
        <w:tabs>
          <w:tab w:val="clear" w:pos="567"/>
          <w:tab w:val="left" w:pos="357"/>
        </w:tabs>
        <w:spacing w:after="200"/>
        <w:contextualSpacing/>
        <w:jc w:val="left"/>
        <w:rPr>
          <w:rFonts w:eastAsia="Calibri"/>
          <w:kern w:val="2"/>
          <w:szCs w:val="22"/>
          <w14:ligatures w14:val="standardContextual"/>
        </w:rPr>
      </w:pPr>
      <w:r w:rsidRPr="00071437">
        <w:rPr>
          <w:rFonts w:eastAsia="Calibri"/>
          <w:kern w:val="2"/>
          <w:szCs w:val="22"/>
          <w14:ligatures w14:val="standardContextual"/>
        </w:rPr>
        <w:t>input of microbial pathogens - the transfer of parasites and diseases;</w:t>
      </w:r>
    </w:p>
    <w:p w14:paraId="047E10C2" w14:textId="77777777" w:rsidR="00071437" w:rsidRPr="00071437" w:rsidRDefault="00071437" w:rsidP="00071437">
      <w:pPr>
        <w:numPr>
          <w:ilvl w:val="0"/>
          <w:numId w:val="38"/>
        </w:numPr>
        <w:tabs>
          <w:tab w:val="clear" w:pos="567"/>
          <w:tab w:val="left" w:pos="357"/>
        </w:tabs>
        <w:spacing w:after="200"/>
        <w:contextualSpacing/>
        <w:jc w:val="left"/>
        <w:rPr>
          <w:rFonts w:eastAsia="Calibri"/>
          <w:kern w:val="2"/>
          <w:szCs w:val="22"/>
          <w14:ligatures w14:val="standardContextual"/>
        </w:rPr>
      </w:pPr>
      <w:r w:rsidRPr="00071437">
        <w:rPr>
          <w:rFonts w:eastAsia="Calibri"/>
          <w:kern w:val="2"/>
          <w:szCs w:val="22"/>
          <w14:ligatures w14:val="standardContextual"/>
        </w:rPr>
        <w:t xml:space="preserve">input or spread of non-indigenous species - such as the sea squirt </w:t>
      </w:r>
      <w:r w:rsidRPr="00071437">
        <w:rPr>
          <w:rFonts w:eastAsia="Calibri"/>
          <w:i/>
          <w:kern w:val="2"/>
          <w:szCs w:val="22"/>
          <w14:ligatures w14:val="standardContextual"/>
        </w:rPr>
        <w:t>Didemnum vexillum</w:t>
      </w:r>
      <w:r w:rsidRPr="00071437">
        <w:rPr>
          <w:rFonts w:eastAsia="Calibri"/>
          <w:kern w:val="2"/>
          <w:szCs w:val="22"/>
          <w14:ligatures w14:val="standardContextual"/>
        </w:rPr>
        <w:t xml:space="preserve"> (also known as sea vomit) or the Pacific oyster </w:t>
      </w:r>
      <w:r w:rsidRPr="00071437">
        <w:rPr>
          <w:rFonts w:eastAsia="Calibri"/>
          <w:i/>
          <w:kern w:val="2"/>
          <w:szCs w:val="22"/>
          <w14:ligatures w14:val="standardContextual"/>
        </w:rPr>
        <w:t>Crassostrea gigas</w:t>
      </w:r>
      <w:r w:rsidRPr="00071437">
        <w:rPr>
          <w:rFonts w:eastAsia="Calibri"/>
          <w:kern w:val="2"/>
          <w:szCs w:val="22"/>
          <w14:ligatures w14:val="standardContextual"/>
        </w:rPr>
        <w:t>, associated with shellfish aquaculture;</w:t>
      </w:r>
    </w:p>
    <w:p w14:paraId="7355A336" w14:textId="77777777" w:rsidR="00071437" w:rsidRPr="00071437" w:rsidRDefault="00071437" w:rsidP="00071437">
      <w:pPr>
        <w:numPr>
          <w:ilvl w:val="0"/>
          <w:numId w:val="38"/>
        </w:numPr>
        <w:tabs>
          <w:tab w:val="clear" w:pos="567"/>
          <w:tab w:val="left" w:pos="357"/>
        </w:tabs>
        <w:spacing w:after="200"/>
        <w:contextualSpacing/>
        <w:jc w:val="left"/>
        <w:rPr>
          <w:rFonts w:eastAsia="Calibri"/>
          <w:kern w:val="2"/>
          <w:szCs w:val="22"/>
          <w14:ligatures w14:val="standardContextual"/>
        </w:rPr>
      </w:pPr>
      <w:r w:rsidRPr="00071437">
        <w:rPr>
          <w:rFonts w:eastAsia="Calibri"/>
          <w:kern w:val="2"/>
          <w:szCs w:val="22"/>
          <w14:ligatures w14:val="standardContextual"/>
        </w:rPr>
        <w:t>input of other substances (e.g., synthetic substances, non-synthetic substances) from diffuse sources, point sources, atmospheric deposition, acute events - chemicals (including contaminants from fish feed and therapeutants);</w:t>
      </w:r>
    </w:p>
    <w:p w14:paraId="37634C6C" w14:textId="77777777" w:rsidR="00071437" w:rsidRPr="00071437" w:rsidRDefault="00071437" w:rsidP="00071437">
      <w:pPr>
        <w:numPr>
          <w:ilvl w:val="0"/>
          <w:numId w:val="38"/>
        </w:numPr>
        <w:tabs>
          <w:tab w:val="clear" w:pos="567"/>
          <w:tab w:val="left" w:pos="357"/>
        </w:tabs>
        <w:spacing w:after="200"/>
        <w:contextualSpacing/>
        <w:jc w:val="left"/>
        <w:rPr>
          <w:rFonts w:eastAsia="Calibri"/>
          <w:kern w:val="2"/>
          <w:szCs w:val="22"/>
          <w14:ligatures w14:val="standardContextual"/>
        </w:rPr>
      </w:pPr>
      <w:r w:rsidRPr="00071437">
        <w:rPr>
          <w:rFonts w:eastAsia="Calibri"/>
          <w:kern w:val="2"/>
          <w:szCs w:val="22"/>
          <w14:ligatures w14:val="standardContextual"/>
        </w:rPr>
        <w:t>input of organic matter from diffuse sources and point sources;</w:t>
      </w:r>
    </w:p>
    <w:p w14:paraId="7777A42C" w14:textId="77777777" w:rsidR="00071437" w:rsidRPr="00071437" w:rsidRDefault="00071437" w:rsidP="00071437">
      <w:pPr>
        <w:numPr>
          <w:ilvl w:val="0"/>
          <w:numId w:val="38"/>
        </w:numPr>
        <w:tabs>
          <w:tab w:val="clear" w:pos="567"/>
          <w:tab w:val="left" w:pos="357"/>
        </w:tabs>
        <w:spacing w:after="200"/>
        <w:contextualSpacing/>
        <w:jc w:val="left"/>
        <w:rPr>
          <w:rFonts w:eastAsia="Calibri"/>
          <w:kern w:val="2"/>
          <w:szCs w:val="22"/>
          <w14:ligatures w14:val="standardContextual"/>
        </w:rPr>
      </w:pPr>
      <w:r w:rsidRPr="00071437">
        <w:rPr>
          <w:rFonts w:eastAsia="Calibri"/>
          <w:kern w:val="2"/>
          <w:szCs w:val="22"/>
          <w14:ligatures w14:val="standardContextual"/>
        </w:rPr>
        <w:t>loss of, or change to, natural biological communities due to cultivation of animal or plant species - shellfish aquaculture may, in some circumstances, contribute positively to ecosystem services, but has potential pressures including removal of mussel seed;</w:t>
      </w:r>
    </w:p>
    <w:p w14:paraId="43E21D20" w14:textId="77777777" w:rsidR="00071437" w:rsidRPr="00071437" w:rsidRDefault="00071437" w:rsidP="00071437">
      <w:pPr>
        <w:numPr>
          <w:ilvl w:val="0"/>
          <w:numId w:val="38"/>
        </w:numPr>
        <w:tabs>
          <w:tab w:val="clear" w:pos="567"/>
          <w:tab w:val="left" w:pos="357"/>
        </w:tabs>
        <w:spacing w:after="200"/>
        <w:contextualSpacing/>
        <w:jc w:val="left"/>
        <w:rPr>
          <w:rFonts w:eastAsia="Calibri"/>
          <w:kern w:val="2"/>
          <w:szCs w:val="22"/>
          <w14:ligatures w14:val="standardContextual"/>
        </w:rPr>
      </w:pPr>
      <w:r w:rsidRPr="00071437">
        <w:rPr>
          <w:rFonts w:eastAsia="Calibri"/>
          <w:kern w:val="2"/>
          <w:szCs w:val="22"/>
          <w14:ligatures w14:val="standardContextual"/>
        </w:rPr>
        <w:t>input of litter (solid waste matter, including micro-sized litter) - finfish and shellfish aquaculture can be a source of litter;</w:t>
      </w:r>
    </w:p>
    <w:p w14:paraId="54843941" w14:textId="77777777" w:rsidR="00071437" w:rsidRPr="00071437" w:rsidRDefault="00071437" w:rsidP="00071437">
      <w:pPr>
        <w:numPr>
          <w:ilvl w:val="0"/>
          <w:numId w:val="38"/>
        </w:numPr>
        <w:tabs>
          <w:tab w:val="clear" w:pos="567"/>
          <w:tab w:val="left" w:pos="357"/>
        </w:tabs>
        <w:spacing w:after="200"/>
        <w:contextualSpacing/>
        <w:jc w:val="left"/>
        <w:rPr>
          <w:rFonts w:eastAsia="Calibri"/>
          <w:kern w:val="2"/>
          <w:szCs w:val="22"/>
          <w14:ligatures w14:val="standardContextual"/>
        </w:rPr>
      </w:pPr>
      <w:r w:rsidRPr="00071437">
        <w:rPr>
          <w:rFonts w:eastAsia="Calibri"/>
          <w:kern w:val="2"/>
          <w:szCs w:val="22"/>
          <w14:ligatures w14:val="standardContextual"/>
        </w:rPr>
        <w:t>input of anthropogenic sound (impulsive, continuous) - from devices to deter predators.</w:t>
      </w:r>
    </w:p>
    <w:p w14:paraId="6F954A47" w14:textId="77777777" w:rsidR="00071437" w:rsidRPr="00071437" w:rsidRDefault="00071437" w:rsidP="00281B48">
      <w:pPr>
        <w:tabs>
          <w:tab w:val="clear" w:pos="567"/>
        </w:tabs>
        <w:spacing w:before="240" w:after="200"/>
        <w:jc w:val="left"/>
        <w:rPr>
          <w:rFonts w:eastAsia="Calibri"/>
          <w:kern w:val="2"/>
          <w:szCs w:val="22"/>
          <w14:ligatures w14:val="standardContextual"/>
        </w:rPr>
      </w:pPr>
      <w:r w:rsidRPr="00071437">
        <w:rPr>
          <w:rFonts w:eastAsia="Calibri"/>
          <w:kern w:val="2"/>
          <w:szCs w:val="22"/>
          <w14:ligatures w14:val="standardContextual"/>
        </w:rPr>
        <w:lastRenderedPageBreak/>
        <w:t>Further expansion of large-scale aquaculture may increase these pressures, while expansion of RAS systems might reduce some effects, although may lead to higher emissions of greenhouse gases if fossil energy sources are used.</w:t>
      </w:r>
    </w:p>
    <w:p w14:paraId="4D4F7390" w14:textId="77777777" w:rsidR="00071437" w:rsidRPr="00071437" w:rsidRDefault="00071437" w:rsidP="00071437">
      <w:pPr>
        <w:tabs>
          <w:tab w:val="clear" w:pos="567"/>
        </w:tabs>
        <w:spacing w:after="200"/>
        <w:jc w:val="left"/>
        <w:rPr>
          <w:rFonts w:eastAsia="Calibri"/>
          <w:kern w:val="2"/>
          <w:szCs w:val="22"/>
          <w14:ligatures w14:val="standardContextual"/>
        </w:rPr>
      </w:pPr>
      <w:r w:rsidRPr="00071437">
        <w:rPr>
          <w:rFonts w:eastAsia="Calibri"/>
          <w:kern w:val="2"/>
          <w:szCs w:val="22"/>
          <w14:ligatures w14:val="standardContextual"/>
        </w:rPr>
        <w:t>The QSR thematic assessment on human activities sets out some possible priorities for OSPAR including increasing its understanding of the potential impacts of future growth in aquaculture and strengthening monitoring and assessment of measures taken by OSPAR Contracting Parties.  In its 2024 assessment of new, emerging and increasing activities the Committee on the Environmental Impacts of Human Activities concluded that aquaculture is a priority area of work based on the scale of the activities and the pressures identified in the QSR 2023.</w:t>
      </w:r>
    </w:p>
    <w:p w14:paraId="7C113932" w14:textId="77777777" w:rsidR="00071437" w:rsidRPr="00071437" w:rsidRDefault="00071437" w:rsidP="00071437">
      <w:pPr>
        <w:tabs>
          <w:tab w:val="clear" w:pos="567"/>
        </w:tabs>
        <w:spacing w:after="200"/>
        <w:jc w:val="left"/>
        <w:rPr>
          <w:rFonts w:eastAsia="Calibri"/>
          <w:kern w:val="2"/>
          <w:szCs w:val="22"/>
          <w14:ligatures w14:val="standardContextual"/>
        </w:rPr>
      </w:pPr>
      <w:r w:rsidRPr="00071437">
        <w:rPr>
          <w:rFonts w:eastAsia="Calibri"/>
          <w:kern w:val="2"/>
          <w:szCs w:val="22"/>
          <w14:ligatures w14:val="standardContextual"/>
        </w:rPr>
        <w:t>A number of strands of work are already under way across OSPAR Committees (Appendix A).  However, there is a need for these activities to be more actively coordinated. There are also gaps, such as in setting minimum environmental standards for the OSPAR Maritime Area or guidance on best environmental practice/best available techniques.</w:t>
      </w:r>
    </w:p>
    <w:p w14:paraId="21886998" w14:textId="77777777" w:rsidR="00071437" w:rsidRPr="00071437" w:rsidRDefault="00071437" w:rsidP="00071437">
      <w:pPr>
        <w:tabs>
          <w:tab w:val="clear" w:pos="567"/>
        </w:tabs>
        <w:spacing w:after="200"/>
        <w:jc w:val="left"/>
        <w:rPr>
          <w:rFonts w:eastAsia="Calibri"/>
          <w:kern w:val="2"/>
          <w:szCs w:val="22"/>
          <w14:ligatures w14:val="standardContextual"/>
        </w:rPr>
      </w:pPr>
      <w:r w:rsidRPr="00071437">
        <w:rPr>
          <w:rFonts w:eastAsia="Calibri"/>
          <w:kern w:val="2"/>
          <w:szCs w:val="22"/>
          <w14:ligatures w14:val="standardContextual"/>
        </w:rPr>
        <w:t xml:space="preserve">Relevant strategic and operational objectives in the North-East Atlantic Environment Strategy 2030 include those on eutrophication, hazardous substances, marine litter (including a specific operational objective on </w:t>
      </w:r>
      <w:r w:rsidRPr="00071437">
        <w:rPr>
          <w:rFonts w:cs="Calibri"/>
          <w:szCs w:val="22"/>
        </w:rPr>
        <w:t>reducing marine litter from fishing and aquaculture gear), marine biodiversity and productive and sustainably used seas.</w:t>
      </w:r>
    </w:p>
    <w:p w14:paraId="1D10D277" w14:textId="77777777" w:rsidR="00071437" w:rsidRPr="00281B48" w:rsidRDefault="00071437" w:rsidP="00281B48">
      <w:pPr>
        <w:tabs>
          <w:tab w:val="clear" w:pos="567"/>
        </w:tabs>
        <w:spacing w:before="360"/>
        <w:jc w:val="left"/>
        <w:rPr>
          <w:rFonts w:eastAsia="Calibri"/>
          <w:b/>
          <w:bCs/>
          <w:kern w:val="2"/>
          <w:szCs w:val="22"/>
          <w14:ligatures w14:val="standardContextual"/>
        </w:rPr>
      </w:pPr>
      <w:r w:rsidRPr="00281B48">
        <w:rPr>
          <w:rFonts w:eastAsia="Calibri"/>
          <w:b/>
          <w:bCs/>
          <w:kern w:val="2"/>
          <w:szCs w:val="22"/>
          <w14:ligatures w14:val="standardContextual"/>
        </w:rPr>
        <w:t>Objectives</w:t>
      </w:r>
    </w:p>
    <w:p w14:paraId="2966EB0F" w14:textId="77777777" w:rsidR="00071437" w:rsidRPr="00071437" w:rsidRDefault="00071437" w:rsidP="00071437">
      <w:pPr>
        <w:tabs>
          <w:tab w:val="clear" w:pos="567"/>
        </w:tabs>
        <w:spacing w:after="200"/>
        <w:jc w:val="left"/>
        <w:rPr>
          <w:rFonts w:eastAsia="Calibri"/>
          <w:kern w:val="2"/>
          <w:szCs w:val="22"/>
          <w14:ligatures w14:val="standardContextual"/>
        </w:rPr>
      </w:pPr>
      <w:r w:rsidRPr="00071437">
        <w:rPr>
          <w:rFonts w:eastAsia="Calibri"/>
          <w:kern w:val="2"/>
          <w:szCs w:val="22"/>
          <w14:ligatures w14:val="standardContextual"/>
        </w:rPr>
        <w:t>The objectives of the task group are:</w:t>
      </w:r>
    </w:p>
    <w:p w14:paraId="6C547164" w14:textId="77777777" w:rsidR="00071437" w:rsidRPr="00071437" w:rsidRDefault="00071437" w:rsidP="00071437">
      <w:pPr>
        <w:numPr>
          <w:ilvl w:val="0"/>
          <w:numId w:val="39"/>
        </w:numPr>
        <w:tabs>
          <w:tab w:val="clear" w:pos="567"/>
          <w:tab w:val="left" w:pos="357"/>
        </w:tabs>
        <w:spacing w:after="200"/>
        <w:contextualSpacing/>
        <w:jc w:val="left"/>
        <w:rPr>
          <w:rFonts w:eastAsia="Calibri"/>
          <w:kern w:val="2"/>
          <w:szCs w:val="22"/>
          <w14:ligatures w14:val="standardContextual"/>
        </w:rPr>
      </w:pPr>
      <w:r w:rsidRPr="00071437">
        <w:rPr>
          <w:rFonts w:eastAsia="Calibri"/>
          <w:kern w:val="2"/>
          <w:szCs w:val="22"/>
          <w14:ligatures w14:val="standardContextual"/>
        </w:rPr>
        <w:t>To improve the coordination of existing OSPAR activities relating to aquaculture;</w:t>
      </w:r>
    </w:p>
    <w:p w14:paraId="7E8F0C73" w14:textId="77777777" w:rsidR="00071437" w:rsidRPr="00071437" w:rsidRDefault="00071437" w:rsidP="00071437">
      <w:pPr>
        <w:numPr>
          <w:ilvl w:val="0"/>
          <w:numId w:val="39"/>
        </w:numPr>
        <w:tabs>
          <w:tab w:val="clear" w:pos="567"/>
          <w:tab w:val="left" w:pos="357"/>
        </w:tabs>
        <w:spacing w:after="200"/>
        <w:contextualSpacing/>
        <w:jc w:val="left"/>
        <w:rPr>
          <w:rFonts w:eastAsia="Calibri"/>
          <w:kern w:val="2"/>
          <w:szCs w:val="22"/>
          <w14:ligatures w14:val="standardContextual"/>
        </w:rPr>
      </w:pPr>
      <w:r w:rsidRPr="00071437">
        <w:rPr>
          <w:rFonts w:eastAsia="Calibri"/>
          <w:kern w:val="2"/>
          <w:szCs w:val="22"/>
          <w14:ligatures w14:val="standardContextual"/>
        </w:rPr>
        <w:t>To identify any gaps in measures and actions on aquaculture where OSPAR could add value, and make proposals on additional NEAES tasks as appropriate and identify the responsible working group;</w:t>
      </w:r>
    </w:p>
    <w:p w14:paraId="50DD932F" w14:textId="77777777" w:rsidR="00071437" w:rsidRPr="00071437" w:rsidRDefault="00071437" w:rsidP="00071437">
      <w:pPr>
        <w:numPr>
          <w:ilvl w:val="0"/>
          <w:numId w:val="39"/>
        </w:numPr>
        <w:tabs>
          <w:tab w:val="clear" w:pos="567"/>
          <w:tab w:val="left" w:pos="357"/>
        </w:tabs>
        <w:spacing w:after="200"/>
        <w:contextualSpacing/>
        <w:jc w:val="left"/>
        <w:rPr>
          <w:rFonts w:eastAsia="Calibri"/>
          <w:kern w:val="2"/>
          <w:szCs w:val="22"/>
          <w14:ligatures w14:val="standardContextual"/>
        </w:rPr>
      </w:pPr>
      <w:r w:rsidRPr="00071437">
        <w:rPr>
          <w:rFonts w:eastAsia="Calibri"/>
          <w:kern w:val="2"/>
          <w:szCs w:val="22"/>
          <w14:ligatures w14:val="standardContextual"/>
        </w:rPr>
        <w:t>To improve the evidence base on the ecosystem services provided by aquaculture and its environmental impacts.</w:t>
      </w:r>
    </w:p>
    <w:p w14:paraId="5F645235" w14:textId="3D58E25D" w:rsidR="00071437" w:rsidRPr="00281B48" w:rsidRDefault="00071437" w:rsidP="00281B48">
      <w:pPr>
        <w:tabs>
          <w:tab w:val="clear" w:pos="567"/>
        </w:tabs>
        <w:spacing w:before="360"/>
        <w:jc w:val="left"/>
        <w:rPr>
          <w:rFonts w:eastAsia="Calibri"/>
          <w:b/>
          <w:bCs/>
          <w:kern w:val="2"/>
          <w:szCs w:val="22"/>
          <w14:ligatures w14:val="standardContextual"/>
        </w:rPr>
      </w:pPr>
      <w:r w:rsidRPr="00281B48">
        <w:rPr>
          <w:rFonts w:eastAsia="Calibri"/>
          <w:b/>
          <w:bCs/>
          <w:kern w:val="2"/>
          <w:szCs w:val="22"/>
          <w14:ligatures w14:val="standardContextual"/>
        </w:rPr>
        <w:t>Scope of work</w:t>
      </w:r>
    </w:p>
    <w:p w14:paraId="26B296D1" w14:textId="77777777" w:rsidR="00071437" w:rsidRPr="00071437" w:rsidRDefault="00071437" w:rsidP="00071437">
      <w:pPr>
        <w:tabs>
          <w:tab w:val="clear" w:pos="567"/>
        </w:tabs>
        <w:spacing w:after="200"/>
        <w:jc w:val="left"/>
        <w:rPr>
          <w:rFonts w:eastAsia="Calibri"/>
          <w:kern w:val="2"/>
          <w:szCs w:val="22"/>
          <w14:ligatures w14:val="standardContextual"/>
        </w:rPr>
      </w:pPr>
      <w:r w:rsidRPr="00071437">
        <w:rPr>
          <w:rFonts w:eastAsia="Calibri"/>
          <w:kern w:val="2"/>
          <w:szCs w:val="22"/>
          <w14:ligatures w14:val="standardContextual"/>
        </w:rPr>
        <w:t xml:space="preserve">The task group will address all forms of aquaculture activities in all OSPAR Regions, covering the farming or cultivation of aquatic organisms, including fish, molluscs, crustaceans and aquatic plants. While the focus will lie on marine aquaculture, land-based aquaculture should also be considered due to its contribution of inputs via rivers.   </w:t>
      </w:r>
    </w:p>
    <w:p w14:paraId="2C50A86B" w14:textId="0D30E403" w:rsidR="00071437" w:rsidRPr="00071437" w:rsidRDefault="00071437" w:rsidP="00071437">
      <w:pPr>
        <w:tabs>
          <w:tab w:val="clear" w:pos="567"/>
        </w:tabs>
        <w:spacing w:after="200"/>
        <w:jc w:val="left"/>
        <w:rPr>
          <w:rFonts w:eastAsia="Calibri"/>
          <w:kern w:val="2"/>
          <w:szCs w:val="22"/>
          <w14:ligatures w14:val="standardContextual"/>
        </w:rPr>
      </w:pPr>
      <w:r w:rsidRPr="00071437">
        <w:rPr>
          <w:rFonts w:eastAsia="Calibri"/>
          <w:kern w:val="2"/>
          <w:szCs w:val="22"/>
          <w14:ligatures w14:val="standardContextual"/>
        </w:rPr>
        <w:t>The task group will consider potential</w:t>
      </w:r>
      <w:r w:rsidR="007E1DBB">
        <w:rPr>
          <w:rFonts w:eastAsia="Calibri"/>
          <w:kern w:val="2"/>
          <w:szCs w:val="22"/>
          <w14:ligatures w14:val="standardContextual"/>
        </w:rPr>
        <w:t xml:space="preserve"> positive and negative </w:t>
      </w:r>
      <w:r w:rsidRPr="00071437">
        <w:rPr>
          <w:rFonts w:eastAsia="Calibri"/>
          <w:kern w:val="2"/>
          <w:szCs w:val="22"/>
          <w14:ligatures w14:val="standardContextual"/>
        </w:rPr>
        <w:t>environmental impacts from current and future aquaculture activities and assess the risks (and benefits) from new and emerging technologies and identify appropriate  ways to address these in the respective OSPAR subsidiary bodies.</w:t>
      </w:r>
    </w:p>
    <w:p w14:paraId="2D59D834" w14:textId="77777777" w:rsidR="00071437" w:rsidRPr="00071437" w:rsidRDefault="00071437" w:rsidP="00071437">
      <w:pPr>
        <w:tabs>
          <w:tab w:val="clear" w:pos="567"/>
        </w:tabs>
        <w:spacing w:after="200"/>
        <w:jc w:val="left"/>
        <w:rPr>
          <w:rFonts w:eastAsia="Calibri"/>
          <w:kern w:val="2"/>
          <w:szCs w:val="22"/>
          <w14:ligatures w14:val="standardContextual"/>
        </w:rPr>
      </w:pPr>
      <w:r w:rsidRPr="00071437">
        <w:rPr>
          <w:rFonts w:eastAsia="Calibri"/>
          <w:kern w:val="2"/>
          <w:szCs w:val="22"/>
          <w14:ligatures w14:val="standardContextual"/>
        </w:rPr>
        <w:t>The task group will coordinate across all relevant OSPAR Committees and subsidiary bodies, including the Biodiversity Committee, Committee on Environmental Impacts of Human Activities, the Committee on Hazardous Substances and Eutrophication and the Working Group on Changing Ocean Climate and Ocean Acidification.</w:t>
      </w:r>
    </w:p>
    <w:p w14:paraId="6AC819BB" w14:textId="77777777" w:rsidR="00071437" w:rsidRPr="00071437" w:rsidRDefault="00071437" w:rsidP="00071437">
      <w:pPr>
        <w:tabs>
          <w:tab w:val="clear" w:pos="567"/>
        </w:tabs>
        <w:spacing w:after="200"/>
        <w:jc w:val="left"/>
        <w:rPr>
          <w:rFonts w:eastAsia="Calibri"/>
          <w:kern w:val="2"/>
          <w:szCs w:val="22"/>
          <w14:ligatures w14:val="standardContextual"/>
        </w:rPr>
      </w:pPr>
      <w:r w:rsidRPr="00071437">
        <w:rPr>
          <w:rFonts w:eastAsia="Calibri"/>
          <w:kern w:val="2"/>
          <w:szCs w:val="22"/>
          <w14:ligatures w14:val="standardContextual"/>
        </w:rPr>
        <w:t>The task group will take full account of work done in other regional and international fora, with the aim of ensuring that OSPAR adds value to existing activities and avoids duplication.</w:t>
      </w:r>
    </w:p>
    <w:p w14:paraId="218E2D64" w14:textId="77777777" w:rsidR="00071437" w:rsidRPr="00281B48" w:rsidRDefault="00071437" w:rsidP="00281B48">
      <w:pPr>
        <w:tabs>
          <w:tab w:val="clear" w:pos="567"/>
        </w:tabs>
        <w:spacing w:before="360"/>
        <w:jc w:val="left"/>
        <w:rPr>
          <w:rFonts w:eastAsia="Calibri"/>
          <w:b/>
          <w:bCs/>
          <w:kern w:val="2"/>
          <w:szCs w:val="22"/>
          <w14:ligatures w14:val="standardContextual"/>
        </w:rPr>
      </w:pPr>
      <w:r w:rsidRPr="00281B48">
        <w:rPr>
          <w:rFonts w:eastAsia="Calibri"/>
          <w:b/>
          <w:bCs/>
          <w:kern w:val="2"/>
          <w:szCs w:val="22"/>
          <w14:ligatures w14:val="standardContextual"/>
        </w:rPr>
        <w:lastRenderedPageBreak/>
        <w:t>Activities in the period 2024 – 2026</w:t>
      </w:r>
    </w:p>
    <w:p w14:paraId="66700E46" w14:textId="77777777" w:rsidR="00071437" w:rsidRPr="00071437" w:rsidRDefault="00071437" w:rsidP="00071437">
      <w:pPr>
        <w:tabs>
          <w:tab w:val="clear" w:pos="567"/>
        </w:tabs>
        <w:spacing w:after="200"/>
        <w:jc w:val="left"/>
        <w:rPr>
          <w:rFonts w:eastAsia="Calibri"/>
          <w:kern w:val="2"/>
          <w:szCs w:val="22"/>
          <w14:ligatures w14:val="standardContextual"/>
        </w:rPr>
      </w:pPr>
      <w:r w:rsidRPr="00071437">
        <w:rPr>
          <w:rFonts w:eastAsia="Calibri"/>
          <w:kern w:val="2"/>
          <w:szCs w:val="22"/>
          <w14:ligatures w14:val="standardContextual"/>
        </w:rPr>
        <w:t>The task group will</w:t>
      </w:r>
    </w:p>
    <w:p w14:paraId="73E06F10" w14:textId="77777777" w:rsidR="00071437" w:rsidRDefault="00071437" w:rsidP="00071437">
      <w:pPr>
        <w:numPr>
          <w:ilvl w:val="0"/>
          <w:numId w:val="40"/>
        </w:numPr>
        <w:tabs>
          <w:tab w:val="clear" w:pos="567"/>
          <w:tab w:val="left" w:pos="357"/>
        </w:tabs>
        <w:spacing w:after="200"/>
        <w:contextualSpacing/>
        <w:jc w:val="left"/>
        <w:rPr>
          <w:rFonts w:eastAsia="Calibri"/>
          <w:kern w:val="2"/>
          <w:szCs w:val="22"/>
          <w14:ligatures w14:val="standardContextual"/>
        </w:rPr>
      </w:pPr>
      <w:r w:rsidRPr="00071437">
        <w:rPr>
          <w:rFonts w:eastAsia="Calibri"/>
          <w:kern w:val="2"/>
          <w:szCs w:val="22"/>
          <w14:ligatures w14:val="standardContextual"/>
        </w:rPr>
        <w:t>Facilitate communication and information exchange between OSPAR task leads working on aquaculture-related topics;</w:t>
      </w:r>
    </w:p>
    <w:p w14:paraId="1275FAC5" w14:textId="7E7A1E96" w:rsidR="00DB6241" w:rsidRPr="00071437" w:rsidRDefault="00DB6241" w:rsidP="00071437">
      <w:pPr>
        <w:numPr>
          <w:ilvl w:val="0"/>
          <w:numId w:val="40"/>
        </w:numPr>
        <w:tabs>
          <w:tab w:val="clear" w:pos="567"/>
          <w:tab w:val="left" w:pos="357"/>
        </w:tabs>
        <w:spacing w:after="200"/>
        <w:contextualSpacing/>
        <w:jc w:val="left"/>
        <w:rPr>
          <w:rFonts w:eastAsia="Calibri"/>
          <w:kern w:val="2"/>
          <w:szCs w:val="22"/>
          <w14:ligatures w14:val="standardContextual"/>
        </w:rPr>
      </w:pPr>
      <w:r>
        <w:rPr>
          <w:rFonts w:eastAsia="Calibri"/>
          <w:kern w:val="2"/>
          <w:szCs w:val="22"/>
          <w14:ligatures w14:val="standardContextual"/>
        </w:rPr>
        <w:t xml:space="preserve">Review the </w:t>
      </w:r>
      <w:r w:rsidR="004A5265">
        <w:rPr>
          <w:rFonts w:eastAsia="Calibri"/>
          <w:kern w:val="2"/>
          <w:szCs w:val="22"/>
          <w14:ligatures w14:val="standardContextual"/>
        </w:rPr>
        <w:t xml:space="preserve">extent of current and planned </w:t>
      </w:r>
      <w:r w:rsidR="006917F3">
        <w:rPr>
          <w:rFonts w:eastAsia="Calibri"/>
          <w:kern w:val="2"/>
          <w:szCs w:val="22"/>
          <w14:ligatures w14:val="standardContextual"/>
        </w:rPr>
        <w:t>aquaculture development and the pressures</w:t>
      </w:r>
      <w:r w:rsidR="00AF7705">
        <w:rPr>
          <w:rFonts w:eastAsia="Calibri"/>
          <w:kern w:val="2"/>
          <w:szCs w:val="22"/>
          <w14:ligatures w14:val="standardContextual"/>
        </w:rPr>
        <w:t xml:space="preserve"> </w:t>
      </w:r>
      <w:r w:rsidR="00542B44">
        <w:rPr>
          <w:rFonts w:eastAsia="Calibri"/>
          <w:kern w:val="2"/>
          <w:szCs w:val="22"/>
          <w14:ligatures w14:val="standardContextual"/>
        </w:rPr>
        <w:t xml:space="preserve">and impacts </w:t>
      </w:r>
      <w:r w:rsidR="00AF7705">
        <w:rPr>
          <w:rFonts w:eastAsia="Calibri"/>
          <w:kern w:val="2"/>
          <w:szCs w:val="22"/>
          <w14:ligatures w14:val="standardContextual"/>
        </w:rPr>
        <w:t>resulting</w:t>
      </w:r>
      <w:r w:rsidR="006917F3">
        <w:rPr>
          <w:rFonts w:eastAsia="Calibri"/>
          <w:kern w:val="2"/>
          <w:szCs w:val="22"/>
          <w14:ligatures w14:val="standardContextual"/>
        </w:rPr>
        <w:t xml:space="preserve"> from them, taking into account the </w:t>
      </w:r>
      <w:r w:rsidR="00D34400">
        <w:rPr>
          <w:rFonts w:eastAsia="Calibri"/>
          <w:kern w:val="2"/>
          <w:szCs w:val="22"/>
          <w14:ligatures w14:val="standardContextual"/>
        </w:rPr>
        <w:t xml:space="preserve">receiving </w:t>
      </w:r>
      <w:r w:rsidR="00AF7705">
        <w:rPr>
          <w:rFonts w:eastAsia="Calibri"/>
          <w:kern w:val="2"/>
          <w:szCs w:val="22"/>
          <w14:ligatures w14:val="standardContextual"/>
        </w:rPr>
        <w:t>environment</w:t>
      </w:r>
      <w:r w:rsidR="00D16700">
        <w:rPr>
          <w:rFonts w:eastAsia="Calibri"/>
          <w:kern w:val="2"/>
          <w:szCs w:val="22"/>
          <w14:ligatures w14:val="standardContextual"/>
        </w:rPr>
        <w:t>;</w:t>
      </w:r>
    </w:p>
    <w:p w14:paraId="0411BEA3" w14:textId="22B4B1D7" w:rsidR="00071437" w:rsidRPr="00071437" w:rsidRDefault="00071437" w:rsidP="00071437">
      <w:pPr>
        <w:numPr>
          <w:ilvl w:val="0"/>
          <w:numId w:val="40"/>
        </w:numPr>
        <w:tabs>
          <w:tab w:val="clear" w:pos="567"/>
          <w:tab w:val="left" w:pos="357"/>
        </w:tabs>
        <w:spacing w:after="200"/>
        <w:contextualSpacing/>
        <w:jc w:val="left"/>
        <w:rPr>
          <w:rFonts w:eastAsia="Calibri"/>
          <w:kern w:val="2"/>
          <w:szCs w:val="22"/>
          <w14:ligatures w14:val="standardContextual"/>
        </w:rPr>
      </w:pPr>
      <w:r w:rsidRPr="00071437">
        <w:rPr>
          <w:rFonts w:eastAsia="Calibri"/>
          <w:kern w:val="2"/>
          <w:szCs w:val="22"/>
          <w14:ligatures w14:val="standardContextual"/>
        </w:rPr>
        <w:t>Make a gap analysis of current OSPAR work on aquaculture and make recommendations to CoG and relevant Committees on</w:t>
      </w:r>
      <w:r w:rsidR="00AF7705">
        <w:rPr>
          <w:rFonts w:eastAsia="Calibri"/>
          <w:kern w:val="2"/>
          <w:szCs w:val="22"/>
          <w14:ligatures w14:val="standardContextual"/>
        </w:rPr>
        <w:t xml:space="preserve"> where OSPAR </w:t>
      </w:r>
      <w:r w:rsidR="006503AE">
        <w:rPr>
          <w:rFonts w:eastAsia="Calibri"/>
          <w:kern w:val="2"/>
          <w:szCs w:val="22"/>
          <w14:ligatures w14:val="standardContextual"/>
        </w:rPr>
        <w:t xml:space="preserve">action </w:t>
      </w:r>
      <w:r w:rsidR="00AF7705">
        <w:rPr>
          <w:rFonts w:eastAsia="Calibri"/>
          <w:kern w:val="2"/>
          <w:szCs w:val="22"/>
          <w14:ligatures w14:val="standardContextual"/>
        </w:rPr>
        <w:t>can provide added value</w:t>
      </w:r>
      <w:r w:rsidRPr="00071437">
        <w:rPr>
          <w:rFonts w:eastAsia="Calibri"/>
          <w:kern w:val="2"/>
          <w:szCs w:val="22"/>
          <w14:ligatures w14:val="standardContextual"/>
        </w:rPr>
        <w:t>;</w:t>
      </w:r>
    </w:p>
    <w:p w14:paraId="37CB3694" w14:textId="77777777" w:rsidR="00071437" w:rsidRPr="00071437" w:rsidRDefault="00071437" w:rsidP="00071437">
      <w:pPr>
        <w:numPr>
          <w:ilvl w:val="0"/>
          <w:numId w:val="40"/>
        </w:numPr>
        <w:tabs>
          <w:tab w:val="clear" w:pos="567"/>
          <w:tab w:val="left" w:pos="357"/>
        </w:tabs>
        <w:spacing w:after="200"/>
        <w:contextualSpacing/>
        <w:jc w:val="left"/>
        <w:rPr>
          <w:rFonts w:eastAsia="Calibri"/>
          <w:kern w:val="2"/>
          <w:szCs w:val="22"/>
          <w14:ligatures w14:val="standardContextual"/>
        </w:rPr>
      </w:pPr>
      <w:r w:rsidRPr="00071437">
        <w:rPr>
          <w:rFonts w:eastAsia="Calibri"/>
          <w:kern w:val="2"/>
          <w:szCs w:val="22"/>
          <w14:ligatures w14:val="standardContextual"/>
        </w:rPr>
        <w:t>Consider the need for and wording of an additional NEAES operational objective on aquaculture;</w:t>
      </w:r>
    </w:p>
    <w:p w14:paraId="45454BAB" w14:textId="5382B307" w:rsidR="00071437" w:rsidRPr="00071437" w:rsidRDefault="00071437" w:rsidP="00071437">
      <w:pPr>
        <w:numPr>
          <w:ilvl w:val="0"/>
          <w:numId w:val="40"/>
        </w:numPr>
        <w:tabs>
          <w:tab w:val="clear" w:pos="567"/>
          <w:tab w:val="left" w:pos="357"/>
        </w:tabs>
        <w:spacing w:after="200"/>
        <w:contextualSpacing/>
        <w:jc w:val="left"/>
        <w:rPr>
          <w:rFonts w:eastAsia="Calibri"/>
          <w:kern w:val="2"/>
          <w:szCs w:val="22"/>
          <w14:ligatures w14:val="standardContextual"/>
        </w:rPr>
      </w:pPr>
      <w:r w:rsidRPr="00071437">
        <w:rPr>
          <w:rFonts w:eastAsia="Calibri"/>
          <w:kern w:val="2"/>
          <w:szCs w:val="22"/>
          <w14:ligatures w14:val="standardContextual"/>
        </w:rPr>
        <w:t xml:space="preserve">Provide further advice to </w:t>
      </w:r>
      <w:r w:rsidR="009B121A">
        <w:rPr>
          <w:rFonts w:eastAsia="Calibri"/>
          <w:kern w:val="2"/>
          <w:szCs w:val="22"/>
          <w14:ligatures w14:val="standardContextual"/>
        </w:rPr>
        <w:t xml:space="preserve">the relevant Committees and </w:t>
      </w:r>
      <w:r w:rsidRPr="00071437">
        <w:rPr>
          <w:rFonts w:eastAsia="Calibri"/>
          <w:kern w:val="2"/>
          <w:szCs w:val="22"/>
          <w14:ligatures w14:val="standardContextual"/>
        </w:rPr>
        <w:t>CoG</w:t>
      </w:r>
      <w:r w:rsidR="006503AE">
        <w:rPr>
          <w:rFonts w:eastAsia="Calibri"/>
          <w:kern w:val="2"/>
          <w:szCs w:val="22"/>
          <w14:ligatures w14:val="standardContextual"/>
        </w:rPr>
        <w:t>,</w:t>
      </w:r>
      <w:r w:rsidRPr="00071437">
        <w:rPr>
          <w:rFonts w:eastAsia="Calibri"/>
          <w:kern w:val="2"/>
          <w:szCs w:val="22"/>
          <w14:ligatures w14:val="standardContextual"/>
        </w:rPr>
        <w:t xml:space="preserve"> as appropriate</w:t>
      </w:r>
      <w:r w:rsidR="006503AE">
        <w:rPr>
          <w:rFonts w:eastAsia="Calibri"/>
          <w:kern w:val="2"/>
          <w:szCs w:val="22"/>
          <w14:ligatures w14:val="standardContextual"/>
        </w:rPr>
        <w:t>,</w:t>
      </w:r>
      <w:r w:rsidRPr="00071437">
        <w:rPr>
          <w:rFonts w:eastAsia="Calibri"/>
          <w:kern w:val="2"/>
          <w:szCs w:val="22"/>
          <w14:ligatures w14:val="standardContextual"/>
        </w:rPr>
        <w:t xml:space="preserve"> on whether to develop an action plan on aquaculture;</w:t>
      </w:r>
    </w:p>
    <w:p w14:paraId="0E74B00C" w14:textId="77777777" w:rsidR="00071437" w:rsidRPr="00071437" w:rsidRDefault="00071437" w:rsidP="00071437">
      <w:pPr>
        <w:numPr>
          <w:ilvl w:val="0"/>
          <w:numId w:val="40"/>
        </w:numPr>
        <w:tabs>
          <w:tab w:val="clear" w:pos="567"/>
          <w:tab w:val="left" w:pos="357"/>
        </w:tabs>
        <w:spacing w:after="200"/>
        <w:contextualSpacing/>
        <w:jc w:val="left"/>
        <w:rPr>
          <w:rFonts w:eastAsia="Calibri"/>
          <w:kern w:val="2"/>
          <w:szCs w:val="22"/>
          <w14:ligatures w14:val="standardContextual"/>
        </w:rPr>
      </w:pPr>
      <w:r w:rsidRPr="00071437">
        <w:rPr>
          <w:rFonts w:eastAsia="Calibri"/>
          <w:kern w:val="2"/>
          <w:szCs w:val="22"/>
          <w14:ligatures w14:val="standardContextual"/>
        </w:rPr>
        <w:t>Initiate an update of the QSR Feeder Report on Aquaculture, with the aim of publication by 2027 subject to a check that there have been many developments since the last report.</w:t>
      </w:r>
    </w:p>
    <w:p w14:paraId="66D62B08" w14:textId="77777777" w:rsidR="00071437" w:rsidRPr="00281B48" w:rsidRDefault="00071437" w:rsidP="00281B48">
      <w:pPr>
        <w:tabs>
          <w:tab w:val="clear" w:pos="567"/>
        </w:tabs>
        <w:spacing w:before="360"/>
        <w:jc w:val="left"/>
        <w:rPr>
          <w:rFonts w:eastAsia="Calibri"/>
          <w:b/>
          <w:bCs/>
          <w:kern w:val="2"/>
          <w:szCs w:val="22"/>
          <w14:ligatures w14:val="standardContextual"/>
        </w:rPr>
      </w:pPr>
      <w:r w:rsidRPr="00281B48">
        <w:rPr>
          <w:rFonts w:eastAsia="Calibri"/>
          <w:b/>
          <w:bCs/>
          <w:kern w:val="2"/>
          <w:szCs w:val="22"/>
          <w14:ligatures w14:val="standardContextual"/>
        </w:rPr>
        <w:t>Working procedures</w:t>
      </w:r>
    </w:p>
    <w:p w14:paraId="413DC047" w14:textId="77777777" w:rsidR="00071437" w:rsidRPr="00071437" w:rsidRDefault="00071437" w:rsidP="00071437">
      <w:pPr>
        <w:tabs>
          <w:tab w:val="clear" w:pos="567"/>
        </w:tabs>
        <w:spacing w:after="200"/>
        <w:jc w:val="left"/>
        <w:rPr>
          <w:rFonts w:eastAsia="Calibri"/>
          <w:kern w:val="2"/>
          <w:szCs w:val="22"/>
          <w14:ligatures w14:val="standardContextual"/>
        </w:rPr>
      </w:pPr>
      <w:r w:rsidRPr="00071437">
        <w:rPr>
          <w:rFonts w:eastAsia="Calibri"/>
          <w:kern w:val="2"/>
          <w:szCs w:val="22"/>
          <w14:ligatures w14:val="standardContextual"/>
        </w:rPr>
        <w:t xml:space="preserve">The task group will be responsible for organising its own meeting schedule according to the demands of the work.  Meetings should be held on-line as far as possible.  </w:t>
      </w:r>
    </w:p>
    <w:p w14:paraId="79062C9F" w14:textId="77777777" w:rsidR="00071437" w:rsidRPr="00071437" w:rsidRDefault="00071437" w:rsidP="00071437">
      <w:pPr>
        <w:tabs>
          <w:tab w:val="clear" w:pos="567"/>
        </w:tabs>
        <w:spacing w:after="200"/>
        <w:jc w:val="left"/>
        <w:rPr>
          <w:rFonts w:eastAsia="Calibri"/>
          <w:kern w:val="2"/>
          <w:szCs w:val="22"/>
          <w14:ligatures w14:val="standardContextual"/>
        </w:rPr>
      </w:pPr>
      <w:r w:rsidRPr="00071437">
        <w:rPr>
          <w:rFonts w:eastAsia="Calibri"/>
          <w:kern w:val="2"/>
          <w:szCs w:val="22"/>
          <w14:ligatures w14:val="standardContextual"/>
        </w:rPr>
        <w:t>The task group will report on progress primarily to CoG.  However, it should as appropriate report to and seek input from all relevant Committees.</w:t>
      </w:r>
    </w:p>
    <w:p w14:paraId="7CEABEE1" w14:textId="77777777" w:rsidR="00071437" w:rsidRPr="00071437" w:rsidRDefault="00071437" w:rsidP="00071437">
      <w:pPr>
        <w:tabs>
          <w:tab w:val="clear" w:pos="567"/>
        </w:tabs>
        <w:spacing w:after="200"/>
        <w:jc w:val="left"/>
        <w:rPr>
          <w:rFonts w:eastAsia="Calibri"/>
          <w:kern w:val="2"/>
          <w:szCs w:val="22"/>
          <w14:ligatures w14:val="standardContextual"/>
        </w:rPr>
      </w:pPr>
      <w:r w:rsidRPr="00071437">
        <w:rPr>
          <w:rFonts w:eastAsia="Calibri"/>
          <w:kern w:val="2"/>
          <w:szCs w:val="22"/>
          <w14:ligatures w14:val="standardContextual"/>
        </w:rPr>
        <w:t>Task leads for individual actions will continue to report to and submit draft measures and other actions to their lead Committee.   The role of the task group is to support and improve coordination between task leads.  It has no decision-making function.</w:t>
      </w:r>
    </w:p>
    <w:p w14:paraId="0B50C1AF" w14:textId="77777777" w:rsidR="00071437" w:rsidRPr="00281B48" w:rsidRDefault="00071437" w:rsidP="00281B48">
      <w:pPr>
        <w:tabs>
          <w:tab w:val="clear" w:pos="567"/>
        </w:tabs>
        <w:spacing w:before="360"/>
        <w:jc w:val="left"/>
        <w:rPr>
          <w:rFonts w:eastAsia="Calibri"/>
          <w:b/>
          <w:bCs/>
          <w:kern w:val="2"/>
          <w:szCs w:val="22"/>
          <w14:ligatures w14:val="standardContextual"/>
        </w:rPr>
      </w:pPr>
      <w:r w:rsidRPr="00281B48">
        <w:rPr>
          <w:rFonts w:eastAsia="Calibri"/>
          <w:b/>
          <w:bCs/>
          <w:kern w:val="2"/>
          <w:szCs w:val="22"/>
          <w14:ligatures w14:val="standardContextual"/>
        </w:rPr>
        <w:t>Convenors and participants</w:t>
      </w:r>
    </w:p>
    <w:p w14:paraId="34231EF5" w14:textId="77777777" w:rsidR="00071437" w:rsidRPr="00071437" w:rsidRDefault="00071437" w:rsidP="00071437">
      <w:pPr>
        <w:tabs>
          <w:tab w:val="clear" w:pos="567"/>
        </w:tabs>
        <w:spacing w:after="200"/>
        <w:jc w:val="left"/>
        <w:rPr>
          <w:rFonts w:eastAsia="Calibri"/>
          <w:kern w:val="2"/>
          <w:szCs w:val="22"/>
          <w14:ligatures w14:val="standardContextual"/>
        </w:rPr>
      </w:pPr>
      <w:r w:rsidRPr="00071437">
        <w:rPr>
          <w:rFonts w:eastAsia="Calibri"/>
          <w:kern w:val="2"/>
          <w:szCs w:val="22"/>
          <w14:ligatures w14:val="standardContextual"/>
        </w:rPr>
        <w:t>The task group will be convened by […..].</w:t>
      </w:r>
    </w:p>
    <w:p w14:paraId="42676250" w14:textId="77777777" w:rsidR="00071437" w:rsidRPr="00071437" w:rsidRDefault="00071437" w:rsidP="00071437">
      <w:pPr>
        <w:tabs>
          <w:tab w:val="clear" w:pos="567"/>
        </w:tabs>
        <w:spacing w:after="200"/>
        <w:jc w:val="left"/>
        <w:rPr>
          <w:rFonts w:eastAsia="Calibri"/>
          <w:kern w:val="2"/>
          <w:szCs w:val="22"/>
          <w14:ligatures w14:val="standardContextual"/>
        </w:rPr>
      </w:pPr>
      <w:r w:rsidRPr="00071437">
        <w:rPr>
          <w:rFonts w:eastAsia="Calibri"/>
          <w:kern w:val="2"/>
          <w:szCs w:val="22"/>
          <w14:ligatures w14:val="standardContextual"/>
        </w:rPr>
        <w:t>Participation is open to all OSPAR Contracting Parties and Observers.   Participation from across the relevant Committees and subsidiary bodies is strongly encouraged.</w:t>
      </w:r>
    </w:p>
    <w:p w14:paraId="13337194" w14:textId="77777777" w:rsidR="00071437" w:rsidRPr="00071437" w:rsidRDefault="00071437" w:rsidP="00071437">
      <w:pPr>
        <w:tabs>
          <w:tab w:val="clear" w:pos="567"/>
        </w:tabs>
        <w:spacing w:after="200"/>
        <w:jc w:val="left"/>
        <w:rPr>
          <w:rFonts w:eastAsia="Calibri"/>
          <w:kern w:val="2"/>
          <w:szCs w:val="22"/>
          <w14:ligatures w14:val="standardContextual"/>
        </w:rPr>
      </w:pPr>
      <w:r w:rsidRPr="00071437">
        <w:rPr>
          <w:rFonts w:eastAsia="Calibri"/>
          <w:kern w:val="2"/>
          <w:szCs w:val="22"/>
          <w14:ligatures w14:val="standardContextual"/>
        </w:rPr>
        <w:br w:type="page"/>
      </w:r>
    </w:p>
    <w:p w14:paraId="3798FE6D" w14:textId="77777777" w:rsidR="00071437" w:rsidRPr="00071437" w:rsidRDefault="00071437" w:rsidP="00071437">
      <w:pPr>
        <w:spacing w:before="120"/>
        <w:jc w:val="right"/>
        <w:rPr>
          <w:rFonts w:eastAsia="Calibri" w:cs="Arial"/>
          <w:szCs w:val="22"/>
        </w:rPr>
      </w:pPr>
      <w:r w:rsidRPr="00071437">
        <w:rPr>
          <w:rFonts w:eastAsia="Calibri" w:cs="Arial"/>
          <w:szCs w:val="22"/>
        </w:rPr>
        <w:lastRenderedPageBreak/>
        <w:t>Appendix A</w:t>
      </w:r>
    </w:p>
    <w:p w14:paraId="03657644" w14:textId="77777777" w:rsidR="00071437" w:rsidRPr="00071437" w:rsidRDefault="00071437" w:rsidP="00071437">
      <w:pPr>
        <w:spacing w:before="120"/>
        <w:rPr>
          <w:rFonts w:eastAsia="Calibri" w:cs="Arial"/>
          <w:sz w:val="28"/>
          <w:szCs w:val="28"/>
        </w:rPr>
      </w:pPr>
      <w:r w:rsidRPr="00071437">
        <w:rPr>
          <w:rFonts w:eastAsia="Calibri" w:cs="Arial"/>
          <w:sz w:val="28"/>
          <w:szCs w:val="28"/>
        </w:rPr>
        <w:t>Overview of OSPAR measures and actions on aquaculture</w:t>
      </w:r>
    </w:p>
    <w:p w14:paraId="6676B9EF" w14:textId="77777777" w:rsidR="00071437" w:rsidRPr="00071437" w:rsidRDefault="00071437" w:rsidP="00071437">
      <w:pPr>
        <w:spacing w:before="120"/>
        <w:rPr>
          <w:rFonts w:eastAsia="Calibri" w:cs="Arial"/>
          <w:szCs w:val="22"/>
        </w:rPr>
      </w:pPr>
    </w:p>
    <w:p w14:paraId="73C7FE9B" w14:textId="77777777" w:rsidR="00071437" w:rsidRPr="00071437" w:rsidRDefault="00071437" w:rsidP="00071437">
      <w:pPr>
        <w:spacing w:before="120"/>
        <w:rPr>
          <w:rFonts w:eastAsia="Calibri" w:cs="Arial"/>
          <w:szCs w:val="22"/>
        </w:rPr>
      </w:pPr>
      <w:r w:rsidRPr="00071437">
        <w:rPr>
          <w:rFonts w:eastAsia="Calibri" w:cs="Arial"/>
          <w:szCs w:val="22"/>
        </w:rPr>
        <w:t>BDC</w:t>
      </w:r>
    </w:p>
    <w:tbl>
      <w:tblPr>
        <w:tblStyle w:val="TableGrid1"/>
        <w:tblW w:w="0" w:type="auto"/>
        <w:tblLook w:val="04A0" w:firstRow="1" w:lastRow="0" w:firstColumn="1" w:lastColumn="0" w:noHBand="0" w:noVBand="1"/>
      </w:tblPr>
      <w:tblGrid>
        <w:gridCol w:w="4814"/>
        <w:gridCol w:w="4814"/>
      </w:tblGrid>
      <w:tr w:rsidR="00071437" w:rsidRPr="00071437" w14:paraId="630FAD88" w14:textId="77777777" w:rsidTr="00E31C13">
        <w:tc>
          <w:tcPr>
            <w:tcW w:w="4814" w:type="dxa"/>
          </w:tcPr>
          <w:p w14:paraId="5A7F7904" w14:textId="77777777" w:rsidR="00071437" w:rsidRPr="00071437" w:rsidRDefault="00071437" w:rsidP="00071437">
            <w:pPr>
              <w:spacing w:before="120" w:line="240" w:lineRule="auto"/>
              <w:rPr>
                <w:rFonts w:cs="Arial"/>
              </w:rPr>
            </w:pPr>
            <w:bookmarkStart w:id="1" w:name="_Hlk150516877"/>
            <w:r w:rsidRPr="00071437">
              <w:rPr>
                <w:rFonts w:cs="Arial"/>
              </w:rPr>
              <w:t>Action/measure</w:t>
            </w:r>
          </w:p>
        </w:tc>
        <w:tc>
          <w:tcPr>
            <w:tcW w:w="4814" w:type="dxa"/>
          </w:tcPr>
          <w:p w14:paraId="67528044" w14:textId="77777777" w:rsidR="00071437" w:rsidRPr="00071437" w:rsidRDefault="00071437" w:rsidP="00071437">
            <w:pPr>
              <w:spacing w:before="120" w:line="240" w:lineRule="auto"/>
              <w:rPr>
                <w:rFonts w:cs="Arial"/>
              </w:rPr>
            </w:pPr>
            <w:r w:rsidRPr="00071437">
              <w:rPr>
                <w:rFonts w:cs="Arial"/>
              </w:rPr>
              <w:t>Relevance to aquaculture</w:t>
            </w:r>
          </w:p>
        </w:tc>
      </w:tr>
      <w:tr w:rsidR="00071437" w:rsidRPr="00071437" w14:paraId="04835900" w14:textId="77777777" w:rsidTr="00E31C13">
        <w:tc>
          <w:tcPr>
            <w:tcW w:w="4814" w:type="dxa"/>
          </w:tcPr>
          <w:p w14:paraId="6B812BC5" w14:textId="77777777" w:rsidR="00071437" w:rsidRPr="00071437" w:rsidRDefault="00071437" w:rsidP="00071437">
            <w:pPr>
              <w:tabs>
                <w:tab w:val="clear" w:pos="567"/>
              </w:tabs>
              <w:spacing w:line="240" w:lineRule="auto"/>
            </w:pPr>
            <w:r w:rsidRPr="00071437">
              <w:t>OSPAR Recommendation 2016/3 on furthering the protection and conservation of the Atlantic salmon (Salmo salar) in Regions I, II, III and IV of the OSPAR maritime area</w:t>
            </w:r>
          </w:p>
          <w:p w14:paraId="55791DF3" w14:textId="77777777" w:rsidR="00071437" w:rsidRPr="00071437" w:rsidRDefault="00071437" w:rsidP="00071437">
            <w:pPr>
              <w:spacing w:before="120" w:line="240" w:lineRule="auto"/>
              <w:rPr>
                <w:rFonts w:cs="Arial"/>
              </w:rPr>
            </w:pPr>
          </w:p>
        </w:tc>
        <w:tc>
          <w:tcPr>
            <w:tcW w:w="4814" w:type="dxa"/>
          </w:tcPr>
          <w:p w14:paraId="227ED702" w14:textId="77777777" w:rsidR="00071437" w:rsidRPr="00071437" w:rsidRDefault="00071437" w:rsidP="00071437">
            <w:pPr>
              <w:spacing w:before="120" w:line="240" w:lineRule="auto"/>
              <w:rPr>
                <w:rFonts w:cs="Arial"/>
              </w:rPr>
            </w:pPr>
            <w:r w:rsidRPr="00071437">
              <w:rPr>
                <w:rFonts w:cs="Arial"/>
              </w:rPr>
              <w:t>Recommendation national actions include assessing whether all measures that contribute to the conservation protection and restoration of Atlantic salmon, and its ecosystems, are effectively addressing the key threats identified in the Background document, including fish farming, through escape and accidental release, resulting in interbreeding and genetic effects, or spread of diseases and parasites;</w:t>
            </w:r>
          </w:p>
          <w:p w14:paraId="770B387F" w14:textId="77777777" w:rsidR="00071437" w:rsidRPr="00071437" w:rsidRDefault="00071437" w:rsidP="00071437">
            <w:pPr>
              <w:spacing w:before="120" w:line="240" w:lineRule="auto"/>
              <w:rPr>
                <w:rFonts w:cs="Arial"/>
              </w:rPr>
            </w:pPr>
            <w:r w:rsidRPr="00071437">
              <w:rPr>
                <w:rFonts w:cs="Arial"/>
              </w:rPr>
              <w:t>Cooperation with NASCO</w:t>
            </w:r>
          </w:p>
        </w:tc>
      </w:tr>
      <w:tr w:rsidR="00071437" w:rsidRPr="00071437" w14:paraId="36C6CB52" w14:textId="77777777" w:rsidTr="00E31C13">
        <w:tc>
          <w:tcPr>
            <w:tcW w:w="4814" w:type="dxa"/>
          </w:tcPr>
          <w:p w14:paraId="3DFA0807" w14:textId="77777777" w:rsidR="00071437" w:rsidRPr="00071437" w:rsidRDefault="00071437" w:rsidP="00071437">
            <w:pPr>
              <w:spacing w:before="120" w:line="240" w:lineRule="auto"/>
              <w:rPr>
                <w:rFonts w:cs="Arial"/>
              </w:rPr>
            </w:pPr>
            <w:r w:rsidRPr="00071437">
              <w:rPr>
                <w:rFonts w:cs="Arial"/>
              </w:rPr>
              <w:t>Status Assessment 2022 – Atlantic Salmon</w:t>
            </w:r>
          </w:p>
        </w:tc>
        <w:tc>
          <w:tcPr>
            <w:tcW w:w="4814" w:type="dxa"/>
          </w:tcPr>
          <w:p w14:paraId="3C12C2C5" w14:textId="77777777" w:rsidR="00071437" w:rsidRPr="00071437" w:rsidRDefault="00071437" w:rsidP="00071437">
            <w:pPr>
              <w:spacing w:before="120" w:line="240" w:lineRule="auto"/>
              <w:rPr>
                <w:rFonts w:cs="Arial"/>
              </w:rPr>
            </w:pPr>
            <w:r w:rsidRPr="00071437">
              <w:rPr>
                <w:rFonts w:cs="Arial"/>
              </w:rPr>
              <w:t>Includes assessment of threat from farmed salmonid aquaculture</w:t>
            </w:r>
          </w:p>
        </w:tc>
      </w:tr>
      <w:tr w:rsidR="00071437" w:rsidRPr="00071437" w14:paraId="6695D482" w14:textId="77777777" w:rsidTr="00E31C13">
        <w:tc>
          <w:tcPr>
            <w:tcW w:w="4814" w:type="dxa"/>
          </w:tcPr>
          <w:p w14:paraId="0372D4C5" w14:textId="77777777" w:rsidR="00071437" w:rsidRPr="00071437" w:rsidRDefault="00071437" w:rsidP="00071437">
            <w:pPr>
              <w:spacing w:before="120" w:line="240" w:lineRule="auto"/>
              <w:rPr>
                <w:rFonts w:cs="Arial"/>
              </w:rPr>
            </w:pPr>
            <w:r w:rsidRPr="00071437">
              <w:rPr>
                <w:rFonts w:cs="Arial"/>
              </w:rPr>
              <w:t>QSR Thematic Assessment on non-indigenous species</w:t>
            </w:r>
          </w:p>
        </w:tc>
        <w:tc>
          <w:tcPr>
            <w:tcW w:w="4814" w:type="dxa"/>
          </w:tcPr>
          <w:p w14:paraId="67594415" w14:textId="77777777" w:rsidR="00071437" w:rsidRPr="00071437" w:rsidRDefault="00071437" w:rsidP="00071437">
            <w:pPr>
              <w:spacing w:before="120" w:line="240" w:lineRule="auto"/>
              <w:rPr>
                <w:rFonts w:cs="Arial"/>
              </w:rPr>
            </w:pPr>
            <w:r w:rsidRPr="00071437">
              <w:rPr>
                <w:rFonts w:cs="Arial"/>
              </w:rPr>
              <w:t>Aquaculture/mariculture listed as one of the pathways for spread of NIS</w:t>
            </w:r>
          </w:p>
        </w:tc>
      </w:tr>
      <w:tr w:rsidR="00071437" w:rsidRPr="00071437" w14:paraId="05ADA65E" w14:textId="77777777" w:rsidTr="00E31C13">
        <w:tc>
          <w:tcPr>
            <w:tcW w:w="4814" w:type="dxa"/>
          </w:tcPr>
          <w:p w14:paraId="1D067B3C" w14:textId="77777777" w:rsidR="00071437" w:rsidRPr="00071437" w:rsidRDefault="00071437" w:rsidP="00071437">
            <w:pPr>
              <w:spacing w:before="120" w:line="240" w:lineRule="auto"/>
              <w:rPr>
                <w:rFonts w:cs="Arial"/>
              </w:rPr>
            </w:pPr>
            <w:r w:rsidRPr="00071437">
              <w:rPr>
                <w:rFonts w:cs="Arial"/>
              </w:rPr>
              <w:t>NIS Expert group</w:t>
            </w:r>
          </w:p>
        </w:tc>
        <w:tc>
          <w:tcPr>
            <w:tcW w:w="4814" w:type="dxa"/>
          </w:tcPr>
          <w:p w14:paraId="1CB277E1" w14:textId="77777777" w:rsidR="00071437" w:rsidRPr="00071437" w:rsidRDefault="00071437" w:rsidP="00071437">
            <w:pPr>
              <w:spacing w:before="120" w:line="240" w:lineRule="auto"/>
              <w:rPr>
                <w:rFonts w:cs="Arial"/>
              </w:rPr>
            </w:pPr>
            <w:r w:rsidRPr="00071437">
              <w:rPr>
                <w:rFonts w:cs="Arial"/>
              </w:rPr>
              <w:t xml:space="preserve">Monitoring/assessment of the introduction of non indigenous escapees from aquaculture </w:t>
            </w:r>
          </w:p>
        </w:tc>
      </w:tr>
      <w:bookmarkEnd w:id="1"/>
    </w:tbl>
    <w:p w14:paraId="71D41D64" w14:textId="77777777" w:rsidR="00071437" w:rsidRPr="00071437" w:rsidRDefault="00071437" w:rsidP="00071437">
      <w:pPr>
        <w:spacing w:before="120"/>
        <w:rPr>
          <w:rFonts w:eastAsia="Calibri" w:cs="Arial"/>
          <w:szCs w:val="22"/>
        </w:rPr>
      </w:pPr>
    </w:p>
    <w:p w14:paraId="71787CD6" w14:textId="77777777" w:rsidR="00071437" w:rsidRPr="00071437" w:rsidRDefault="00071437" w:rsidP="00071437">
      <w:pPr>
        <w:spacing w:before="120"/>
        <w:rPr>
          <w:rFonts w:eastAsia="Calibri" w:cs="Arial"/>
          <w:szCs w:val="22"/>
        </w:rPr>
      </w:pPr>
      <w:r w:rsidRPr="00071437">
        <w:rPr>
          <w:rFonts w:eastAsia="Calibri" w:cs="Arial"/>
          <w:szCs w:val="22"/>
        </w:rPr>
        <w:t>EIHA</w:t>
      </w:r>
    </w:p>
    <w:tbl>
      <w:tblPr>
        <w:tblStyle w:val="TableGrid1"/>
        <w:tblW w:w="0" w:type="auto"/>
        <w:tblLook w:val="04A0" w:firstRow="1" w:lastRow="0" w:firstColumn="1" w:lastColumn="0" w:noHBand="0" w:noVBand="1"/>
      </w:tblPr>
      <w:tblGrid>
        <w:gridCol w:w="4814"/>
        <w:gridCol w:w="4814"/>
      </w:tblGrid>
      <w:tr w:rsidR="00071437" w:rsidRPr="00071437" w14:paraId="14A70980" w14:textId="77777777" w:rsidTr="00E31C13">
        <w:tc>
          <w:tcPr>
            <w:tcW w:w="4814" w:type="dxa"/>
          </w:tcPr>
          <w:p w14:paraId="365A1328" w14:textId="77777777" w:rsidR="00071437" w:rsidRPr="00071437" w:rsidRDefault="00071437" w:rsidP="00071437">
            <w:pPr>
              <w:spacing w:before="120" w:line="240" w:lineRule="auto"/>
              <w:rPr>
                <w:rFonts w:cs="Arial"/>
              </w:rPr>
            </w:pPr>
            <w:r w:rsidRPr="00071437">
              <w:rPr>
                <w:rFonts w:cs="Arial"/>
              </w:rPr>
              <w:t>Action/measure</w:t>
            </w:r>
          </w:p>
        </w:tc>
        <w:tc>
          <w:tcPr>
            <w:tcW w:w="4814" w:type="dxa"/>
          </w:tcPr>
          <w:p w14:paraId="389DB149" w14:textId="77777777" w:rsidR="00071437" w:rsidRPr="00071437" w:rsidRDefault="00071437" w:rsidP="00071437">
            <w:pPr>
              <w:spacing w:before="120" w:line="240" w:lineRule="auto"/>
              <w:rPr>
                <w:rFonts w:cs="Arial"/>
              </w:rPr>
            </w:pPr>
            <w:r w:rsidRPr="00071437">
              <w:rPr>
                <w:rFonts w:cs="Arial"/>
              </w:rPr>
              <w:t>Relevance to aquaculture</w:t>
            </w:r>
          </w:p>
        </w:tc>
      </w:tr>
      <w:tr w:rsidR="00071437" w:rsidRPr="00071437" w14:paraId="765E9AE2" w14:textId="77777777" w:rsidTr="00E31C13">
        <w:tc>
          <w:tcPr>
            <w:tcW w:w="4814" w:type="dxa"/>
          </w:tcPr>
          <w:p w14:paraId="67242E04" w14:textId="77777777" w:rsidR="00071437" w:rsidRPr="00071437" w:rsidRDefault="00071437" w:rsidP="00071437">
            <w:pPr>
              <w:spacing w:before="120" w:line="240" w:lineRule="auto"/>
              <w:rPr>
                <w:rFonts w:cs="Arial"/>
              </w:rPr>
            </w:pPr>
            <w:r w:rsidRPr="00071437">
              <w:rPr>
                <w:rFonts w:cs="Arial"/>
              </w:rPr>
              <w:t>ICES Advice: OSPAR request on interactions between wild and captive fish stocks (2014)</w:t>
            </w:r>
          </w:p>
        </w:tc>
        <w:tc>
          <w:tcPr>
            <w:tcW w:w="4814" w:type="dxa"/>
          </w:tcPr>
          <w:p w14:paraId="72064A55" w14:textId="77777777" w:rsidR="00071437" w:rsidRPr="00071437" w:rsidRDefault="00071437" w:rsidP="00071437">
            <w:pPr>
              <w:spacing w:before="120" w:line="240" w:lineRule="auto"/>
              <w:rPr>
                <w:rFonts w:cs="Arial"/>
              </w:rPr>
            </w:pPr>
          </w:p>
        </w:tc>
      </w:tr>
      <w:tr w:rsidR="00071437" w:rsidRPr="00071437" w14:paraId="62357D6A" w14:textId="77777777" w:rsidTr="00E31C13">
        <w:tc>
          <w:tcPr>
            <w:tcW w:w="4814" w:type="dxa"/>
          </w:tcPr>
          <w:p w14:paraId="2668C19F" w14:textId="77777777" w:rsidR="00071437" w:rsidRPr="00071437" w:rsidRDefault="00071437" w:rsidP="00071437">
            <w:pPr>
              <w:spacing w:before="120" w:line="240" w:lineRule="auto"/>
              <w:rPr>
                <w:rFonts w:cs="Arial"/>
              </w:rPr>
            </w:pPr>
            <w:r w:rsidRPr="00071437">
              <w:rPr>
                <w:rFonts w:cs="Arial"/>
              </w:rPr>
              <w:t>Scoping study to identify key waste items from the fishing industry and aquaculture  (OSPAR 2019)</w:t>
            </w:r>
          </w:p>
        </w:tc>
        <w:tc>
          <w:tcPr>
            <w:tcW w:w="4814" w:type="dxa"/>
          </w:tcPr>
          <w:p w14:paraId="1BD8AB6F" w14:textId="77777777" w:rsidR="00071437" w:rsidRPr="00071437" w:rsidRDefault="00071437" w:rsidP="00071437">
            <w:pPr>
              <w:spacing w:before="120" w:line="240" w:lineRule="auto"/>
              <w:rPr>
                <w:rFonts w:cs="Arial"/>
              </w:rPr>
            </w:pPr>
            <w:r w:rsidRPr="00071437">
              <w:rPr>
                <w:rFonts w:cs="Arial"/>
              </w:rPr>
              <w:t>Output from first RAP-ML</w:t>
            </w:r>
          </w:p>
        </w:tc>
      </w:tr>
      <w:tr w:rsidR="00071437" w:rsidRPr="00071437" w14:paraId="60B7B2EC" w14:textId="77777777" w:rsidTr="00E31C13">
        <w:tc>
          <w:tcPr>
            <w:tcW w:w="4814" w:type="dxa"/>
          </w:tcPr>
          <w:p w14:paraId="39193F46" w14:textId="77777777" w:rsidR="00071437" w:rsidRPr="00071437" w:rsidRDefault="00071437" w:rsidP="00071437">
            <w:pPr>
              <w:spacing w:before="120" w:line="240" w:lineRule="auto"/>
              <w:rPr>
                <w:rFonts w:cs="Arial"/>
              </w:rPr>
            </w:pPr>
            <w:r w:rsidRPr="00071437">
              <w:rPr>
                <w:rFonts w:cs="Arial"/>
              </w:rPr>
              <w:t>QSR Feeder Report on Aquaculture (OSPAR 2021)</w:t>
            </w:r>
          </w:p>
        </w:tc>
        <w:tc>
          <w:tcPr>
            <w:tcW w:w="4814" w:type="dxa"/>
          </w:tcPr>
          <w:p w14:paraId="189D2C43" w14:textId="77777777" w:rsidR="00071437" w:rsidRPr="00071437" w:rsidRDefault="00071437" w:rsidP="00071437">
            <w:pPr>
              <w:spacing w:before="120" w:line="240" w:lineRule="auto"/>
              <w:rPr>
                <w:rFonts w:cs="Arial"/>
              </w:rPr>
            </w:pPr>
            <w:r w:rsidRPr="00071437">
              <w:rPr>
                <w:rFonts w:cs="Arial"/>
              </w:rPr>
              <w:t>Assesses status of marine aquaculture in OSPAR Maritime Area. The analysis covers production of finfish, molluscs, crustaceans, aquatic plants, and miscellaneous aquatic products in the North-East Atlantic, in marine and brackish waters.</w:t>
            </w:r>
          </w:p>
        </w:tc>
      </w:tr>
      <w:tr w:rsidR="00071437" w:rsidRPr="00071437" w14:paraId="06C55209" w14:textId="77777777" w:rsidTr="00E31C13">
        <w:tc>
          <w:tcPr>
            <w:tcW w:w="4814" w:type="dxa"/>
          </w:tcPr>
          <w:p w14:paraId="0257E480" w14:textId="77777777" w:rsidR="00071437" w:rsidRPr="00071437" w:rsidRDefault="00071437" w:rsidP="00071437">
            <w:pPr>
              <w:spacing w:before="120" w:line="240" w:lineRule="auto"/>
              <w:rPr>
                <w:rFonts w:cs="Arial"/>
              </w:rPr>
            </w:pPr>
            <w:r w:rsidRPr="00071437">
              <w:rPr>
                <w:rFonts w:cs="Arial"/>
              </w:rPr>
              <w:t>NEAES task S4.08.T5 Prevent and reduce marine litter from aquaculture</w:t>
            </w:r>
          </w:p>
        </w:tc>
        <w:tc>
          <w:tcPr>
            <w:tcW w:w="4814" w:type="dxa"/>
          </w:tcPr>
          <w:p w14:paraId="00E5B109" w14:textId="77777777" w:rsidR="00071437" w:rsidRPr="00071437" w:rsidRDefault="00071437" w:rsidP="00071437">
            <w:pPr>
              <w:spacing w:before="120" w:line="240" w:lineRule="auto"/>
              <w:rPr>
                <w:rFonts w:cs="Arial"/>
              </w:rPr>
            </w:pPr>
            <w:r w:rsidRPr="00071437">
              <w:rPr>
                <w:rFonts w:cs="Arial"/>
              </w:rPr>
              <w:t xml:space="preserve">Action within RAP-ML2; OSPAR will work to prevent and reduce marine litter from aquaculture by gathering information, promoting good practice, and developing guidelines on litter prevention, monitoring, retrieval and site decommissioning.  </w:t>
            </w:r>
          </w:p>
        </w:tc>
      </w:tr>
      <w:tr w:rsidR="00071437" w:rsidRPr="00071437" w14:paraId="74B1771F" w14:textId="77777777" w:rsidTr="00E31C13">
        <w:tc>
          <w:tcPr>
            <w:tcW w:w="4814" w:type="dxa"/>
          </w:tcPr>
          <w:p w14:paraId="5AE8CA60" w14:textId="77777777" w:rsidR="00071437" w:rsidRPr="00071437" w:rsidRDefault="00071437" w:rsidP="00071437">
            <w:pPr>
              <w:spacing w:before="120" w:line="240" w:lineRule="auto"/>
              <w:rPr>
                <w:rFonts w:cs="Arial"/>
              </w:rPr>
            </w:pPr>
            <w:r w:rsidRPr="00071437">
              <w:rPr>
                <w:rFonts w:cs="Arial"/>
              </w:rPr>
              <w:lastRenderedPageBreak/>
              <w:t>NEAES task S7.05.T1 Review the risks from new, emerging and increasing pressures on the marine environment</w:t>
            </w:r>
          </w:p>
        </w:tc>
        <w:tc>
          <w:tcPr>
            <w:tcW w:w="4814" w:type="dxa"/>
          </w:tcPr>
          <w:p w14:paraId="2FA8AAE9" w14:textId="77777777" w:rsidR="00071437" w:rsidRPr="00071437" w:rsidRDefault="00071437" w:rsidP="00071437">
            <w:pPr>
              <w:spacing w:before="120" w:line="240" w:lineRule="auto"/>
              <w:rPr>
                <w:rFonts w:cs="Arial"/>
              </w:rPr>
            </w:pPr>
            <w:r w:rsidRPr="00071437">
              <w:rPr>
                <w:rFonts w:cs="Arial"/>
              </w:rPr>
              <w:t>Assessment includes aquaculture; EIHA(2) 2023 considered it to be high priority for work in EIHA</w:t>
            </w:r>
          </w:p>
        </w:tc>
      </w:tr>
    </w:tbl>
    <w:p w14:paraId="5733CF3B" w14:textId="77777777" w:rsidR="00071437" w:rsidRPr="00071437" w:rsidRDefault="00071437" w:rsidP="00071437">
      <w:pPr>
        <w:spacing w:before="120"/>
        <w:rPr>
          <w:rFonts w:eastAsia="Calibri" w:cs="Arial"/>
          <w:szCs w:val="22"/>
        </w:rPr>
      </w:pPr>
    </w:p>
    <w:p w14:paraId="79A1E4B8" w14:textId="77777777" w:rsidR="00071437" w:rsidRPr="00071437" w:rsidRDefault="00071437" w:rsidP="00071437">
      <w:pPr>
        <w:spacing w:before="120"/>
        <w:rPr>
          <w:rFonts w:eastAsia="Calibri" w:cs="Arial"/>
          <w:szCs w:val="22"/>
        </w:rPr>
      </w:pPr>
      <w:r w:rsidRPr="00071437">
        <w:rPr>
          <w:rFonts w:eastAsia="Calibri" w:cs="Arial"/>
          <w:szCs w:val="22"/>
        </w:rPr>
        <w:t>HASEC</w:t>
      </w:r>
    </w:p>
    <w:tbl>
      <w:tblPr>
        <w:tblStyle w:val="TableGrid1"/>
        <w:tblW w:w="0" w:type="auto"/>
        <w:tblLook w:val="04A0" w:firstRow="1" w:lastRow="0" w:firstColumn="1" w:lastColumn="0" w:noHBand="0" w:noVBand="1"/>
      </w:tblPr>
      <w:tblGrid>
        <w:gridCol w:w="4814"/>
        <w:gridCol w:w="4814"/>
      </w:tblGrid>
      <w:tr w:rsidR="00071437" w:rsidRPr="00071437" w14:paraId="3229422F" w14:textId="77777777" w:rsidTr="00E31C13">
        <w:tc>
          <w:tcPr>
            <w:tcW w:w="4814" w:type="dxa"/>
          </w:tcPr>
          <w:p w14:paraId="52D06253" w14:textId="77777777" w:rsidR="00071437" w:rsidRPr="00071437" w:rsidRDefault="00071437" w:rsidP="00071437">
            <w:pPr>
              <w:spacing w:before="120" w:line="240" w:lineRule="auto"/>
              <w:rPr>
                <w:rFonts w:cs="Arial"/>
              </w:rPr>
            </w:pPr>
            <w:r w:rsidRPr="00071437">
              <w:rPr>
                <w:rFonts w:cs="Arial"/>
              </w:rPr>
              <w:t>Action/measure</w:t>
            </w:r>
          </w:p>
        </w:tc>
        <w:tc>
          <w:tcPr>
            <w:tcW w:w="4814" w:type="dxa"/>
          </w:tcPr>
          <w:p w14:paraId="1F58F12E" w14:textId="77777777" w:rsidR="00071437" w:rsidRPr="00071437" w:rsidRDefault="00071437" w:rsidP="00071437">
            <w:pPr>
              <w:spacing w:before="120" w:line="240" w:lineRule="auto"/>
              <w:rPr>
                <w:rFonts w:cs="Arial"/>
              </w:rPr>
            </w:pPr>
            <w:r w:rsidRPr="00071437">
              <w:rPr>
                <w:rFonts w:cs="Arial"/>
              </w:rPr>
              <w:t>Relevance to aquaculture</w:t>
            </w:r>
          </w:p>
        </w:tc>
      </w:tr>
      <w:tr w:rsidR="00071437" w:rsidRPr="00071437" w14:paraId="58F5B402" w14:textId="77777777" w:rsidTr="00E31C13">
        <w:tc>
          <w:tcPr>
            <w:tcW w:w="4814" w:type="dxa"/>
          </w:tcPr>
          <w:p w14:paraId="73DCE20F" w14:textId="77777777" w:rsidR="00071437" w:rsidRPr="00071437" w:rsidRDefault="00071437" w:rsidP="00071437">
            <w:pPr>
              <w:spacing w:before="120" w:line="240" w:lineRule="auto"/>
              <w:rPr>
                <w:rFonts w:cs="Arial"/>
              </w:rPr>
            </w:pPr>
            <w:r w:rsidRPr="00071437">
              <w:rPr>
                <w:rFonts w:cs="Arial"/>
              </w:rPr>
              <w:t>PARCOM Recommendation 94/6 on Best Environmental Practice (BEP) for the Reduction of Potentially Toxic Chemicals from Aquaculture Use</w:t>
            </w:r>
          </w:p>
        </w:tc>
        <w:tc>
          <w:tcPr>
            <w:tcW w:w="4814" w:type="dxa"/>
          </w:tcPr>
          <w:p w14:paraId="7BD9433F" w14:textId="77777777" w:rsidR="00071437" w:rsidRPr="00071437" w:rsidRDefault="00071437" w:rsidP="00071437">
            <w:pPr>
              <w:spacing w:before="120" w:line="240" w:lineRule="auto"/>
              <w:rPr>
                <w:rFonts w:cs="Arial"/>
              </w:rPr>
            </w:pPr>
            <w:r w:rsidRPr="00071437">
              <w:rPr>
                <w:rFonts w:cs="Arial"/>
              </w:rPr>
              <w:t>Active recommendation aimed at the reduction of the input of potentially toxic chemicals from aquaculture. A reporting round has been completed in 2023.</w:t>
            </w:r>
          </w:p>
        </w:tc>
      </w:tr>
      <w:tr w:rsidR="00071437" w:rsidRPr="00071437" w14:paraId="10A38F9A" w14:textId="77777777" w:rsidTr="00E31C13">
        <w:tc>
          <w:tcPr>
            <w:tcW w:w="4814" w:type="dxa"/>
          </w:tcPr>
          <w:p w14:paraId="65078EC2" w14:textId="77777777" w:rsidR="00071437" w:rsidRPr="00071437" w:rsidRDefault="00071437" w:rsidP="00071437">
            <w:pPr>
              <w:spacing w:before="120" w:line="240" w:lineRule="auto"/>
              <w:rPr>
                <w:rFonts w:cs="Arial"/>
              </w:rPr>
            </w:pPr>
            <w:r w:rsidRPr="00071437">
              <w:rPr>
                <w:rFonts w:cs="Arial"/>
              </w:rPr>
              <w:t>Regular reporting of direct nutrient inputs of marine aquaculture to the RID database</w:t>
            </w:r>
          </w:p>
        </w:tc>
        <w:tc>
          <w:tcPr>
            <w:tcW w:w="4814" w:type="dxa"/>
          </w:tcPr>
          <w:p w14:paraId="6DFCA71A" w14:textId="77777777" w:rsidR="00071437" w:rsidRPr="00071437" w:rsidRDefault="00071437" w:rsidP="00071437">
            <w:pPr>
              <w:spacing w:before="120" w:line="240" w:lineRule="auto"/>
              <w:rPr>
                <w:rFonts w:cs="Arial"/>
              </w:rPr>
            </w:pPr>
            <w:r w:rsidRPr="00071437">
              <w:rPr>
                <w:rFonts w:cs="Arial"/>
              </w:rPr>
              <w:t>Shows increasing trends in nutrient inputs in particular for Region I (</w:t>
            </w:r>
            <w:hyperlink r:id="rId8" w:history="1">
              <w:r w:rsidRPr="00071437">
                <w:rPr>
                  <w:rFonts w:cs="Arial"/>
                  <w:color w:val="16288E"/>
                </w:rPr>
                <w:t>OSPAR Indicator Inputs of Nutrients to the OSPAR Maritime Area</w:t>
              </w:r>
            </w:hyperlink>
            <w:r w:rsidRPr="00071437">
              <w:rPr>
                <w:rFonts w:cs="Arial"/>
              </w:rPr>
              <w:t>). Not all CPs do report.</w:t>
            </w:r>
          </w:p>
        </w:tc>
      </w:tr>
    </w:tbl>
    <w:p w14:paraId="6DC8C3DC" w14:textId="77777777" w:rsidR="00071437" w:rsidRPr="00071437" w:rsidRDefault="00071437" w:rsidP="00071437">
      <w:pPr>
        <w:spacing w:before="120"/>
        <w:rPr>
          <w:rFonts w:eastAsia="Calibri" w:cs="Arial"/>
          <w:szCs w:val="22"/>
        </w:rPr>
      </w:pPr>
    </w:p>
    <w:p w14:paraId="4A0EC29C" w14:textId="77777777" w:rsidR="00071437" w:rsidRPr="00071437" w:rsidRDefault="00071437" w:rsidP="00071437">
      <w:pPr>
        <w:spacing w:before="120"/>
        <w:rPr>
          <w:rFonts w:eastAsia="Calibri" w:cs="Arial"/>
          <w:szCs w:val="22"/>
        </w:rPr>
      </w:pPr>
    </w:p>
    <w:bookmarkEnd w:id="0"/>
    <w:p w14:paraId="789E9571" w14:textId="77777777" w:rsidR="00071437" w:rsidRPr="00F6133F" w:rsidRDefault="00071437" w:rsidP="00071437">
      <w:pPr>
        <w:autoSpaceDE w:val="0"/>
        <w:autoSpaceDN w:val="0"/>
        <w:adjustRightInd w:val="0"/>
        <w:spacing w:after="0" w:line="240" w:lineRule="auto"/>
        <w:rPr>
          <w:rFonts w:cs="Calibri"/>
          <w:color w:val="000000"/>
          <w:szCs w:val="22"/>
        </w:rPr>
      </w:pPr>
    </w:p>
    <w:sectPr w:rsidR="00071437" w:rsidRPr="00F6133F" w:rsidSect="00DE3DAC">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567"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0644C" w14:textId="77777777" w:rsidR="00664E54" w:rsidRDefault="00664E54">
      <w:r>
        <w:separator/>
      </w:r>
    </w:p>
  </w:endnote>
  <w:endnote w:type="continuationSeparator" w:id="0">
    <w:p w14:paraId="0DADEB06" w14:textId="77777777" w:rsidR="00664E54" w:rsidRDefault="0066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BB7A3" w14:textId="77777777" w:rsidR="00E57C8C" w:rsidRDefault="00E57C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E0C739" w14:textId="77777777" w:rsidR="00E57C8C" w:rsidRDefault="00E57C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7" w:type="dxa"/>
      <w:tblCellMar>
        <w:top w:w="57" w:type="dxa"/>
        <w:left w:w="0" w:type="dxa"/>
        <w:bottom w:w="57" w:type="dxa"/>
        <w:right w:w="0" w:type="dxa"/>
      </w:tblCellMar>
      <w:tblLook w:val="0000" w:firstRow="0" w:lastRow="0" w:firstColumn="0" w:lastColumn="0" w:noHBand="0" w:noVBand="0"/>
    </w:tblPr>
    <w:tblGrid>
      <w:gridCol w:w="9647"/>
    </w:tblGrid>
    <w:tr w:rsidR="00E57C8C" w:rsidRPr="00E75454" w14:paraId="404793DD" w14:textId="77777777">
      <w:trPr>
        <w:cantSplit/>
        <w:trHeight w:hRule="exact" w:val="284"/>
      </w:trPr>
      <w:tc>
        <w:tcPr>
          <w:tcW w:w="9647" w:type="dxa"/>
          <w:tcBorders>
            <w:bottom w:val="single" w:sz="4" w:space="0" w:color="auto"/>
          </w:tcBorders>
        </w:tcPr>
        <w:p w14:paraId="41FDCA52" w14:textId="77777777" w:rsidR="00E57C8C" w:rsidRPr="00E75454" w:rsidRDefault="00E57C8C" w:rsidP="0041102A">
          <w:pPr>
            <w:pStyle w:val="Footer"/>
            <w:tabs>
              <w:tab w:val="left" w:pos="272"/>
            </w:tabs>
            <w:spacing w:after="0" w:line="240" w:lineRule="auto"/>
            <w:jc w:val="right"/>
            <w:rPr>
              <w:sz w:val="20"/>
              <w:szCs w:val="22"/>
            </w:rPr>
          </w:pPr>
          <w:r w:rsidRPr="00E75454">
            <w:rPr>
              <w:rStyle w:val="PageNumber"/>
              <w:rFonts w:ascii="Calibri" w:hAnsi="Calibri"/>
              <w:sz w:val="20"/>
              <w:szCs w:val="22"/>
            </w:rPr>
            <w:fldChar w:fldCharType="begin"/>
          </w:r>
          <w:r w:rsidRPr="00E75454">
            <w:rPr>
              <w:rStyle w:val="PageNumber"/>
              <w:rFonts w:ascii="Calibri" w:hAnsi="Calibri"/>
              <w:sz w:val="20"/>
              <w:szCs w:val="22"/>
            </w:rPr>
            <w:instrText xml:space="preserve"> PAGE </w:instrText>
          </w:r>
          <w:r w:rsidRPr="00E75454">
            <w:rPr>
              <w:rStyle w:val="PageNumber"/>
              <w:rFonts w:ascii="Calibri" w:hAnsi="Calibri"/>
              <w:sz w:val="20"/>
              <w:szCs w:val="22"/>
            </w:rPr>
            <w:fldChar w:fldCharType="separate"/>
          </w:r>
          <w:r w:rsidR="004A3F91">
            <w:rPr>
              <w:rStyle w:val="PageNumber"/>
              <w:rFonts w:ascii="Calibri" w:hAnsi="Calibri"/>
              <w:noProof/>
              <w:sz w:val="20"/>
              <w:szCs w:val="22"/>
            </w:rPr>
            <w:t>2</w:t>
          </w:r>
          <w:r w:rsidRPr="00E75454">
            <w:rPr>
              <w:rStyle w:val="PageNumber"/>
              <w:rFonts w:ascii="Calibri" w:hAnsi="Calibri"/>
              <w:sz w:val="20"/>
              <w:szCs w:val="22"/>
            </w:rPr>
            <w:fldChar w:fldCharType="end"/>
          </w:r>
          <w:r w:rsidRPr="00E75454">
            <w:rPr>
              <w:rStyle w:val="PageNumber"/>
              <w:rFonts w:ascii="Calibri" w:hAnsi="Calibri"/>
              <w:sz w:val="20"/>
              <w:szCs w:val="22"/>
            </w:rPr>
            <w:t xml:space="preserve"> of </w:t>
          </w:r>
          <w:r w:rsidRPr="00E75454">
            <w:rPr>
              <w:rStyle w:val="PageNumber"/>
              <w:rFonts w:ascii="Calibri" w:hAnsi="Calibri"/>
              <w:sz w:val="20"/>
              <w:szCs w:val="22"/>
            </w:rPr>
            <w:fldChar w:fldCharType="begin"/>
          </w:r>
          <w:r w:rsidRPr="00E75454">
            <w:rPr>
              <w:rStyle w:val="PageNumber"/>
              <w:rFonts w:ascii="Calibri" w:hAnsi="Calibri"/>
              <w:sz w:val="20"/>
              <w:szCs w:val="22"/>
            </w:rPr>
            <w:instrText xml:space="preserve"> NUMPAGES </w:instrText>
          </w:r>
          <w:r w:rsidRPr="00E75454">
            <w:rPr>
              <w:rStyle w:val="PageNumber"/>
              <w:rFonts w:ascii="Calibri" w:hAnsi="Calibri"/>
              <w:sz w:val="20"/>
              <w:szCs w:val="22"/>
            </w:rPr>
            <w:fldChar w:fldCharType="separate"/>
          </w:r>
          <w:r w:rsidR="004A3F91">
            <w:rPr>
              <w:rStyle w:val="PageNumber"/>
              <w:rFonts w:ascii="Calibri" w:hAnsi="Calibri"/>
              <w:noProof/>
              <w:sz w:val="20"/>
              <w:szCs w:val="22"/>
            </w:rPr>
            <w:t>4</w:t>
          </w:r>
          <w:r w:rsidRPr="00E75454">
            <w:rPr>
              <w:rStyle w:val="PageNumber"/>
              <w:rFonts w:ascii="Calibri" w:hAnsi="Calibri"/>
              <w:sz w:val="20"/>
              <w:szCs w:val="22"/>
            </w:rPr>
            <w:fldChar w:fldCharType="end"/>
          </w:r>
          <w:r w:rsidRPr="00E75454">
            <w:rPr>
              <w:rStyle w:val="PageNumber"/>
              <w:rFonts w:ascii="Calibri" w:hAnsi="Calibri"/>
              <w:sz w:val="20"/>
              <w:szCs w:val="22"/>
            </w:rPr>
            <w:t xml:space="preserve"> </w:t>
          </w:r>
        </w:p>
      </w:tc>
    </w:tr>
  </w:tbl>
  <w:p w14:paraId="56088F47" w14:textId="436649DE" w:rsidR="00E57C8C" w:rsidRPr="0041102A" w:rsidRDefault="007D2CD4" w:rsidP="00D02098">
    <w:pPr>
      <w:pStyle w:val="Footer"/>
      <w:tabs>
        <w:tab w:val="center" w:pos="4820"/>
        <w:tab w:val="right" w:pos="9639"/>
      </w:tabs>
      <w:spacing w:after="0"/>
      <w:ind w:right="357"/>
      <w:rPr>
        <w:sz w:val="22"/>
        <w:szCs w:val="22"/>
      </w:rPr>
    </w:pPr>
    <w:r>
      <w:rPr>
        <w:sz w:val="22"/>
        <w:szCs w:val="22"/>
      </w:rPr>
      <w:t>OSPAR Commission</w:t>
    </w:r>
    <w:r>
      <w:rPr>
        <w:sz w:val="22"/>
        <w:szCs w:val="22"/>
      </w:rPr>
      <w:tab/>
      <w:t>Summary Record – OSPAR 2024</w:t>
    </w:r>
    <w:r>
      <w:rPr>
        <w:sz w:val="22"/>
        <w:szCs w:val="22"/>
      </w:rPr>
      <w:tab/>
      <w:t>OSPAR 24/15/01, Annex</w:t>
    </w:r>
    <w:r w:rsidR="00BF551D">
      <w:rPr>
        <w:sz w:val="22"/>
        <w:szCs w:val="22"/>
      </w:rPr>
      <w:t xml:space="preserve"> 8</w:t>
    </w:r>
    <w:r>
      <w:rPr>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0D98A" w14:textId="77777777" w:rsidR="005A2F7F" w:rsidRDefault="005A2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2B4D4" w14:textId="77777777" w:rsidR="00664E54" w:rsidRDefault="00664E54">
      <w:r>
        <w:separator/>
      </w:r>
    </w:p>
  </w:footnote>
  <w:footnote w:type="continuationSeparator" w:id="0">
    <w:p w14:paraId="45D9C5E5" w14:textId="77777777" w:rsidR="00664E54" w:rsidRDefault="00664E54">
      <w:r>
        <w:continuationSeparator/>
      </w:r>
    </w:p>
  </w:footnote>
  <w:footnote w:id="1">
    <w:p w14:paraId="334CC5E5" w14:textId="77777777" w:rsidR="00071437" w:rsidRDefault="00071437" w:rsidP="00071437">
      <w:pPr>
        <w:pStyle w:val="FootnoteText"/>
      </w:pPr>
      <w:r>
        <w:rPr>
          <w:rStyle w:val="FootnoteReference"/>
        </w:rPr>
        <w:footnoteRef/>
      </w:r>
      <w:r>
        <w:t xml:space="preserve"> QSR 2023 Human activities thematic assessment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FDAFB" w14:textId="77777777" w:rsidR="005A2F7F" w:rsidRDefault="005A2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6260E" w14:textId="77777777" w:rsidR="005A2F7F" w:rsidRDefault="005A2F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DB22A" w14:textId="77777777" w:rsidR="005A2F7F" w:rsidRDefault="005A2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C0875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4FA0473C"/>
    <w:lvl w:ilvl="0">
      <w:start w:val="1"/>
      <w:numFmt w:val="lowerLetter"/>
      <w:pStyle w:val="ListNumber"/>
      <w:lvlText w:val="%1."/>
      <w:lvlJc w:val="left"/>
      <w:pPr>
        <w:tabs>
          <w:tab w:val="num" w:pos="1135"/>
        </w:tabs>
        <w:ind w:left="1135" w:hanging="567"/>
      </w:pPr>
      <w:rPr>
        <w:rFonts w:hint="default"/>
        <w:b w:val="0"/>
        <w:i w:val="0"/>
        <w:color w:val="auto"/>
        <w:sz w:val="20"/>
      </w:rPr>
    </w:lvl>
  </w:abstractNum>
  <w:abstractNum w:abstractNumId="2" w15:restartNumberingAfterBreak="0">
    <w:nsid w:val="FFFFFF89"/>
    <w:multiLevelType w:val="singleLevel"/>
    <w:tmpl w:val="C91E2FC0"/>
    <w:lvl w:ilvl="0">
      <w:start w:val="1"/>
      <w:numFmt w:val="lowerRoman"/>
      <w:pStyle w:val="ListBullet"/>
      <w:lvlText w:val="%1."/>
      <w:lvlJc w:val="right"/>
      <w:pPr>
        <w:tabs>
          <w:tab w:val="num" w:pos="1701"/>
        </w:tabs>
        <w:ind w:left="1701" w:hanging="567"/>
      </w:pPr>
      <w:rPr>
        <w:rFonts w:hint="default"/>
        <w:color w:val="auto"/>
      </w:rPr>
    </w:lvl>
  </w:abstractNum>
  <w:abstractNum w:abstractNumId="3" w15:restartNumberingAfterBreak="0">
    <w:nsid w:val="036440B6"/>
    <w:multiLevelType w:val="hybridMultilevel"/>
    <w:tmpl w:val="BBF64CF2"/>
    <w:lvl w:ilvl="0" w:tplc="899E15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40580"/>
    <w:multiLevelType w:val="hybridMultilevel"/>
    <w:tmpl w:val="245AF5A0"/>
    <w:lvl w:ilvl="0" w:tplc="A1AA65BA">
      <w:start w:val="1"/>
      <w:numFmt w:val="decimal"/>
      <w:lvlText w:val="%1."/>
      <w:lvlJc w:val="left"/>
      <w:pPr>
        <w:ind w:left="1914" w:hanging="360"/>
      </w:pPr>
      <w:rPr>
        <w:rFonts w:hint="default"/>
      </w:rPr>
    </w:lvl>
    <w:lvl w:ilvl="1" w:tplc="04090019" w:tentative="1">
      <w:start w:val="1"/>
      <w:numFmt w:val="lowerLetter"/>
      <w:lvlText w:val="%2."/>
      <w:lvlJc w:val="left"/>
      <w:pPr>
        <w:ind w:left="2634" w:hanging="360"/>
      </w:pPr>
    </w:lvl>
    <w:lvl w:ilvl="2" w:tplc="0409001B" w:tentative="1">
      <w:start w:val="1"/>
      <w:numFmt w:val="lowerRoman"/>
      <w:lvlText w:val="%3."/>
      <w:lvlJc w:val="right"/>
      <w:pPr>
        <w:ind w:left="3354" w:hanging="180"/>
      </w:pPr>
    </w:lvl>
    <w:lvl w:ilvl="3" w:tplc="0409000F" w:tentative="1">
      <w:start w:val="1"/>
      <w:numFmt w:val="decimal"/>
      <w:lvlText w:val="%4."/>
      <w:lvlJc w:val="left"/>
      <w:pPr>
        <w:ind w:left="4074" w:hanging="360"/>
      </w:pPr>
    </w:lvl>
    <w:lvl w:ilvl="4" w:tplc="04090019" w:tentative="1">
      <w:start w:val="1"/>
      <w:numFmt w:val="lowerLetter"/>
      <w:lvlText w:val="%5."/>
      <w:lvlJc w:val="left"/>
      <w:pPr>
        <w:ind w:left="4794" w:hanging="360"/>
      </w:pPr>
    </w:lvl>
    <w:lvl w:ilvl="5" w:tplc="0409001B" w:tentative="1">
      <w:start w:val="1"/>
      <w:numFmt w:val="lowerRoman"/>
      <w:lvlText w:val="%6."/>
      <w:lvlJc w:val="right"/>
      <w:pPr>
        <w:ind w:left="5514" w:hanging="180"/>
      </w:pPr>
    </w:lvl>
    <w:lvl w:ilvl="6" w:tplc="0409000F" w:tentative="1">
      <w:start w:val="1"/>
      <w:numFmt w:val="decimal"/>
      <w:lvlText w:val="%7."/>
      <w:lvlJc w:val="left"/>
      <w:pPr>
        <w:ind w:left="6234" w:hanging="360"/>
      </w:pPr>
    </w:lvl>
    <w:lvl w:ilvl="7" w:tplc="04090019" w:tentative="1">
      <w:start w:val="1"/>
      <w:numFmt w:val="lowerLetter"/>
      <w:lvlText w:val="%8."/>
      <w:lvlJc w:val="left"/>
      <w:pPr>
        <w:ind w:left="6954" w:hanging="360"/>
      </w:pPr>
    </w:lvl>
    <w:lvl w:ilvl="8" w:tplc="0409001B" w:tentative="1">
      <w:start w:val="1"/>
      <w:numFmt w:val="lowerRoman"/>
      <w:lvlText w:val="%9."/>
      <w:lvlJc w:val="right"/>
      <w:pPr>
        <w:ind w:left="7674" w:hanging="180"/>
      </w:pPr>
    </w:lvl>
  </w:abstractNum>
  <w:abstractNum w:abstractNumId="5" w15:restartNumberingAfterBreak="0">
    <w:nsid w:val="0E5C13CD"/>
    <w:multiLevelType w:val="hybridMultilevel"/>
    <w:tmpl w:val="B5DEBC52"/>
    <w:lvl w:ilvl="0" w:tplc="04090001">
      <w:start w:val="1"/>
      <w:numFmt w:val="bullet"/>
      <w:lvlText w:val=""/>
      <w:lvlJc w:val="left"/>
      <w:pPr>
        <w:ind w:left="2281" w:hanging="360"/>
      </w:pPr>
      <w:rPr>
        <w:rFonts w:ascii="Symbol" w:hAnsi="Symbol" w:hint="default"/>
      </w:rPr>
    </w:lvl>
    <w:lvl w:ilvl="1" w:tplc="04090003" w:tentative="1">
      <w:start w:val="1"/>
      <w:numFmt w:val="bullet"/>
      <w:lvlText w:val="o"/>
      <w:lvlJc w:val="left"/>
      <w:pPr>
        <w:ind w:left="3001" w:hanging="360"/>
      </w:pPr>
      <w:rPr>
        <w:rFonts w:ascii="Courier New" w:hAnsi="Courier New" w:hint="default"/>
      </w:rPr>
    </w:lvl>
    <w:lvl w:ilvl="2" w:tplc="04090005" w:tentative="1">
      <w:start w:val="1"/>
      <w:numFmt w:val="bullet"/>
      <w:lvlText w:val=""/>
      <w:lvlJc w:val="left"/>
      <w:pPr>
        <w:ind w:left="3721" w:hanging="360"/>
      </w:pPr>
      <w:rPr>
        <w:rFonts w:ascii="Wingdings" w:hAnsi="Wingdings" w:hint="default"/>
      </w:rPr>
    </w:lvl>
    <w:lvl w:ilvl="3" w:tplc="04090001" w:tentative="1">
      <w:start w:val="1"/>
      <w:numFmt w:val="bullet"/>
      <w:lvlText w:val=""/>
      <w:lvlJc w:val="left"/>
      <w:pPr>
        <w:ind w:left="4441" w:hanging="360"/>
      </w:pPr>
      <w:rPr>
        <w:rFonts w:ascii="Symbol" w:hAnsi="Symbol" w:hint="default"/>
      </w:rPr>
    </w:lvl>
    <w:lvl w:ilvl="4" w:tplc="04090003" w:tentative="1">
      <w:start w:val="1"/>
      <w:numFmt w:val="bullet"/>
      <w:lvlText w:val="o"/>
      <w:lvlJc w:val="left"/>
      <w:pPr>
        <w:ind w:left="5161" w:hanging="360"/>
      </w:pPr>
      <w:rPr>
        <w:rFonts w:ascii="Courier New" w:hAnsi="Courier New" w:hint="default"/>
      </w:rPr>
    </w:lvl>
    <w:lvl w:ilvl="5" w:tplc="04090005" w:tentative="1">
      <w:start w:val="1"/>
      <w:numFmt w:val="bullet"/>
      <w:lvlText w:val=""/>
      <w:lvlJc w:val="left"/>
      <w:pPr>
        <w:ind w:left="5881" w:hanging="360"/>
      </w:pPr>
      <w:rPr>
        <w:rFonts w:ascii="Wingdings" w:hAnsi="Wingdings" w:hint="default"/>
      </w:rPr>
    </w:lvl>
    <w:lvl w:ilvl="6" w:tplc="04090001" w:tentative="1">
      <w:start w:val="1"/>
      <w:numFmt w:val="bullet"/>
      <w:lvlText w:val=""/>
      <w:lvlJc w:val="left"/>
      <w:pPr>
        <w:ind w:left="6601" w:hanging="360"/>
      </w:pPr>
      <w:rPr>
        <w:rFonts w:ascii="Symbol" w:hAnsi="Symbol" w:hint="default"/>
      </w:rPr>
    </w:lvl>
    <w:lvl w:ilvl="7" w:tplc="04090003" w:tentative="1">
      <w:start w:val="1"/>
      <w:numFmt w:val="bullet"/>
      <w:lvlText w:val="o"/>
      <w:lvlJc w:val="left"/>
      <w:pPr>
        <w:ind w:left="7321" w:hanging="360"/>
      </w:pPr>
      <w:rPr>
        <w:rFonts w:ascii="Courier New" w:hAnsi="Courier New" w:hint="default"/>
      </w:rPr>
    </w:lvl>
    <w:lvl w:ilvl="8" w:tplc="04090005" w:tentative="1">
      <w:start w:val="1"/>
      <w:numFmt w:val="bullet"/>
      <w:lvlText w:val=""/>
      <w:lvlJc w:val="left"/>
      <w:pPr>
        <w:ind w:left="8041" w:hanging="360"/>
      </w:pPr>
      <w:rPr>
        <w:rFonts w:ascii="Wingdings" w:hAnsi="Wingdings" w:hint="default"/>
      </w:rPr>
    </w:lvl>
  </w:abstractNum>
  <w:abstractNum w:abstractNumId="6" w15:restartNumberingAfterBreak="0">
    <w:nsid w:val="0F22453D"/>
    <w:multiLevelType w:val="hybridMultilevel"/>
    <w:tmpl w:val="8B1A0284"/>
    <w:lvl w:ilvl="0" w:tplc="034A7724">
      <w:start w:val="1"/>
      <w:numFmt w:val="lowerLetter"/>
      <w:lvlText w:val="%1."/>
      <w:lvlJc w:val="left"/>
      <w:pPr>
        <w:ind w:left="720" w:hanging="360"/>
      </w:pPr>
      <w:rPr>
        <w:rFonts w:ascii="Calibri" w:eastAsia="Times New Roman" w:hAnsi="Calibri"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B3256"/>
    <w:multiLevelType w:val="hybridMultilevel"/>
    <w:tmpl w:val="B8E47E92"/>
    <w:lvl w:ilvl="0" w:tplc="434AEF1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DE7D68"/>
    <w:multiLevelType w:val="hybridMultilevel"/>
    <w:tmpl w:val="903A78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8521B7"/>
    <w:multiLevelType w:val="hybridMultilevel"/>
    <w:tmpl w:val="43D0D174"/>
    <w:lvl w:ilvl="0" w:tplc="08090019">
      <w:start w:val="1"/>
      <w:numFmt w:val="lowerLetter"/>
      <w:lvlText w:val="%1."/>
      <w:lvlJc w:val="left"/>
      <w:pPr>
        <w:ind w:left="928"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19DC3909"/>
    <w:multiLevelType w:val="hybridMultilevel"/>
    <w:tmpl w:val="903E0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D41F46"/>
    <w:multiLevelType w:val="hybridMultilevel"/>
    <w:tmpl w:val="081C8870"/>
    <w:lvl w:ilvl="0" w:tplc="F850ADCC">
      <w:start w:val="1"/>
      <w:numFmt w:val="lowerRoman"/>
      <w:lvlText w:val="%1."/>
      <w:lvlJc w:val="left"/>
      <w:pPr>
        <w:ind w:left="1288" w:hanging="72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236A4AB1"/>
    <w:multiLevelType w:val="hybridMultilevel"/>
    <w:tmpl w:val="45B6E024"/>
    <w:lvl w:ilvl="0" w:tplc="08090019">
      <w:start w:val="1"/>
      <w:numFmt w:val="lowerLetter"/>
      <w:lvlText w:val="%1."/>
      <w:lvlJc w:val="left"/>
      <w:pPr>
        <w:ind w:left="5039"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275525D3"/>
    <w:multiLevelType w:val="hybridMultilevel"/>
    <w:tmpl w:val="A318564C"/>
    <w:lvl w:ilvl="0" w:tplc="0809000F">
      <w:start w:val="1"/>
      <w:numFmt w:val="decimal"/>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4" w15:restartNumberingAfterBreak="0">
    <w:nsid w:val="28C0134C"/>
    <w:multiLevelType w:val="hybridMultilevel"/>
    <w:tmpl w:val="FA74FFCA"/>
    <w:lvl w:ilvl="0" w:tplc="DF78A1EE">
      <w:start w:val="1"/>
      <w:numFmt w:val="lowerLetter"/>
      <w:lvlText w:val="%1."/>
      <w:lvlJc w:val="left"/>
      <w:pPr>
        <w:ind w:left="56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D2060E"/>
    <w:multiLevelType w:val="hybridMultilevel"/>
    <w:tmpl w:val="D0689E10"/>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2EA956FD"/>
    <w:multiLevelType w:val="hybridMultilevel"/>
    <w:tmpl w:val="BDB68084"/>
    <w:lvl w:ilvl="0" w:tplc="7BDABD0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D83F70"/>
    <w:multiLevelType w:val="hybridMultilevel"/>
    <w:tmpl w:val="D4BA72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460542"/>
    <w:multiLevelType w:val="hybridMultilevel"/>
    <w:tmpl w:val="C0A4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14318E"/>
    <w:multiLevelType w:val="hybridMultilevel"/>
    <w:tmpl w:val="695EBE7A"/>
    <w:lvl w:ilvl="0" w:tplc="E5FEFE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C0ADD"/>
    <w:multiLevelType w:val="hybridMultilevel"/>
    <w:tmpl w:val="BD2CB102"/>
    <w:lvl w:ilvl="0" w:tplc="58A8C0DE">
      <w:start w:val="2"/>
      <w:numFmt w:val="decimal"/>
      <w:lvlText w:val="%1."/>
      <w:lvlJc w:val="left"/>
      <w:pPr>
        <w:ind w:left="720" w:hanging="360"/>
      </w:pPr>
      <w:rPr>
        <w:rFonts w:asciiTheme="majorHAnsi" w:hAnsiTheme="majorHAnsi" w:cstheme="majorHAnsi"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F352BC"/>
    <w:multiLevelType w:val="hybridMultilevel"/>
    <w:tmpl w:val="6982F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165933"/>
    <w:multiLevelType w:val="hybridMultilevel"/>
    <w:tmpl w:val="BC2EB2FA"/>
    <w:lvl w:ilvl="0" w:tplc="DF78A1EE">
      <w:start w:val="1"/>
      <w:numFmt w:val="lowerLetter"/>
      <w:lvlText w:val="%1."/>
      <w:lvlJc w:val="left"/>
      <w:pPr>
        <w:ind w:left="1131" w:hanging="564"/>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4D225170"/>
    <w:multiLevelType w:val="hybridMultilevel"/>
    <w:tmpl w:val="F2F2EC68"/>
    <w:lvl w:ilvl="0" w:tplc="54E09EF0">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4" w15:restartNumberingAfterBreak="0">
    <w:nsid w:val="53482EA6"/>
    <w:multiLevelType w:val="hybridMultilevel"/>
    <w:tmpl w:val="9D3C8F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9534A3"/>
    <w:multiLevelType w:val="hybridMultilevel"/>
    <w:tmpl w:val="FD180A14"/>
    <w:lvl w:ilvl="0" w:tplc="04090019">
      <w:start w:val="1"/>
      <w:numFmt w:val="lowerLetter"/>
      <w:lvlText w:val="%1."/>
      <w:lvlJc w:val="left"/>
      <w:pPr>
        <w:ind w:left="1340" w:hanging="360"/>
      </w:pPr>
    </w:lvl>
    <w:lvl w:ilvl="1" w:tplc="04090019">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6" w15:restartNumberingAfterBreak="0">
    <w:nsid w:val="596F39A9"/>
    <w:multiLevelType w:val="hybridMultilevel"/>
    <w:tmpl w:val="B336C5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8D3989"/>
    <w:multiLevelType w:val="hybridMultilevel"/>
    <w:tmpl w:val="06F2DC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ED24EA"/>
    <w:multiLevelType w:val="multilevel"/>
    <w:tmpl w:val="9DAAE89E"/>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C57528C"/>
    <w:multiLevelType w:val="hybridMultilevel"/>
    <w:tmpl w:val="D0689E10"/>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6326894"/>
    <w:multiLevelType w:val="hybridMultilevel"/>
    <w:tmpl w:val="6C30C8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3D6FFC"/>
    <w:multiLevelType w:val="hybridMultilevel"/>
    <w:tmpl w:val="38AA5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697EE5"/>
    <w:multiLevelType w:val="hybridMultilevel"/>
    <w:tmpl w:val="E7788B90"/>
    <w:lvl w:ilvl="0" w:tplc="A1AA65BA">
      <w:start w:val="1"/>
      <w:numFmt w:val="decimal"/>
      <w:lvlText w:val="%1."/>
      <w:lvlJc w:val="left"/>
      <w:pPr>
        <w:ind w:left="2281"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33" w15:restartNumberingAfterBreak="0">
    <w:nsid w:val="728D4A85"/>
    <w:multiLevelType w:val="hybridMultilevel"/>
    <w:tmpl w:val="4516AF7C"/>
    <w:lvl w:ilvl="0" w:tplc="DF78A1EE">
      <w:start w:val="1"/>
      <w:numFmt w:val="lowerLetter"/>
      <w:lvlText w:val="%1."/>
      <w:lvlJc w:val="left"/>
      <w:pPr>
        <w:ind w:left="1131"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DC1907"/>
    <w:multiLevelType w:val="multilevel"/>
    <w:tmpl w:val="55260094"/>
    <w:lvl w:ilvl="0">
      <w:start w:val="2"/>
      <w:numFmt w:val="decimal"/>
      <w:lvlText w:val="%1"/>
      <w:lvlJc w:val="left"/>
      <w:pPr>
        <w:ind w:left="360" w:hanging="360"/>
      </w:pPr>
    </w:lvl>
    <w:lvl w:ilvl="1">
      <w:start w:val="2"/>
      <w:numFmt w:val="decimal"/>
      <w:lvlText w:val="%1.%2"/>
      <w:lvlJc w:val="left"/>
      <w:pPr>
        <w:ind w:left="720" w:hanging="360"/>
      </w:pPr>
    </w:lvl>
    <w:lvl w:ilvl="2">
      <w:start w:val="1"/>
      <w:numFmt w:val="lowerLetter"/>
      <w:lvlText w:val="%3."/>
      <w:lvlJc w:val="left"/>
      <w:pPr>
        <w:ind w:left="1080" w:hanging="36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5" w15:restartNumberingAfterBreak="0">
    <w:nsid w:val="784834A0"/>
    <w:multiLevelType w:val="hybridMultilevel"/>
    <w:tmpl w:val="D5CEFEFA"/>
    <w:lvl w:ilvl="0" w:tplc="B1A6A476">
      <w:start w:val="1"/>
      <w:numFmt w:val="decimal"/>
      <w:lvlText w:val="%1."/>
      <w:lvlJc w:val="left"/>
      <w:pPr>
        <w:ind w:left="93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8919BE"/>
    <w:multiLevelType w:val="hybridMultilevel"/>
    <w:tmpl w:val="8AB01358"/>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888607961">
    <w:abstractNumId w:val="2"/>
  </w:num>
  <w:num w:numId="2" w16cid:durableId="170997142">
    <w:abstractNumId w:val="2"/>
  </w:num>
  <w:num w:numId="3" w16cid:durableId="962271184">
    <w:abstractNumId w:val="1"/>
  </w:num>
  <w:num w:numId="4" w16cid:durableId="1379429896">
    <w:abstractNumId w:val="1"/>
  </w:num>
  <w:num w:numId="5" w16cid:durableId="365646492">
    <w:abstractNumId w:val="3"/>
  </w:num>
  <w:num w:numId="6" w16cid:durableId="1188253990">
    <w:abstractNumId w:val="15"/>
  </w:num>
  <w:num w:numId="7" w16cid:durableId="1038971286">
    <w:abstractNumId w:val="29"/>
  </w:num>
  <w:num w:numId="8" w16cid:durableId="404961803">
    <w:abstractNumId w:val="12"/>
  </w:num>
  <w:num w:numId="9" w16cid:durableId="200872492">
    <w:abstractNumId w:val="0"/>
  </w:num>
  <w:num w:numId="10" w16cid:durableId="751125814">
    <w:abstractNumId w:val="6"/>
  </w:num>
  <w:num w:numId="11" w16cid:durableId="1046294227">
    <w:abstractNumId w:val="5"/>
  </w:num>
  <w:num w:numId="12" w16cid:durableId="719548722">
    <w:abstractNumId w:val="4"/>
  </w:num>
  <w:num w:numId="13" w16cid:durableId="791703166">
    <w:abstractNumId w:val="32"/>
  </w:num>
  <w:num w:numId="14" w16cid:durableId="769471149">
    <w:abstractNumId w:val="9"/>
  </w:num>
  <w:num w:numId="15" w16cid:durableId="1987974935">
    <w:abstractNumId w:val="22"/>
  </w:num>
  <w:num w:numId="16" w16cid:durableId="1093162958">
    <w:abstractNumId w:val="33"/>
  </w:num>
  <w:num w:numId="17" w16cid:durableId="88888414">
    <w:abstractNumId w:val="14"/>
  </w:num>
  <w:num w:numId="18" w16cid:durableId="43022258">
    <w:abstractNumId w:val="36"/>
  </w:num>
  <w:num w:numId="19" w16cid:durableId="1562902557">
    <w:abstractNumId w:val="13"/>
  </w:num>
  <w:num w:numId="20" w16cid:durableId="1979872613">
    <w:abstractNumId w:val="11"/>
  </w:num>
  <w:num w:numId="21" w16cid:durableId="1406612047">
    <w:abstractNumId w:val="30"/>
  </w:num>
  <w:num w:numId="22" w16cid:durableId="1190990175">
    <w:abstractNumId w:val="25"/>
  </w:num>
  <w:num w:numId="23" w16cid:durableId="1227646030">
    <w:abstractNumId w:val="8"/>
  </w:num>
  <w:num w:numId="24" w16cid:durableId="992222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1449427">
    <w:abstractNumId w:val="26"/>
  </w:num>
  <w:num w:numId="26" w16cid:durableId="858006559">
    <w:abstractNumId w:val="21"/>
  </w:num>
  <w:num w:numId="27" w16cid:durableId="44647346">
    <w:abstractNumId w:val="23"/>
  </w:num>
  <w:num w:numId="28" w16cid:durableId="658119875">
    <w:abstractNumId w:val="16"/>
  </w:num>
  <w:num w:numId="29" w16cid:durableId="1777406184">
    <w:abstractNumId w:val="20"/>
  </w:num>
  <w:num w:numId="30" w16cid:durableId="2063870608">
    <w:abstractNumId w:val="7"/>
  </w:num>
  <w:num w:numId="31" w16cid:durableId="811751120">
    <w:abstractNumId w:val="3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7666359">
    <w:abstractNumId w:val="2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04579206">
    <w:abstractNumId w:val="19"/>
  </w:num>
  <w:num w:numId="34" w16cid:durableId="1816412149">
    <w:abstractNumId w:val="35"/>
  </w:num>
  <w:num w:numId="35" w16cid:durableId="712923033">
    <w:abstractNumId w:val="27"/>
  </w:num>
  <w:num w:numId="36" w16cid:durableId="1142773519">
    <w:abstractNumId w:val="10"/>
  </w:num>
  <w:num w:numId="37" w16cid:durableId="1462992825">
    <w:abstractNumId w:val="17"/>
  </w:num>
  <w:num w:numId="38" w16cid:durableId="431361549">
    <w:abstractNumId w:val="31"/>
  </w:num>
  <w:num w:numId="39" w16cid:durableId="662271326">
    <w:abstractNumId w:val="24"/>
  </w:num>
  <w:num w:numId="40" w16cid:durableId="5627577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C0"/>
    <w:rsid w:val="000014BA"/>
    <w:rsid w:val="000036B4"/>
    <w:rsid w:val="0001117F"/>
    <w:rsid w:val="00015BFF"/>
    <w:rsid w:val="0002387C"/>
    <w:rsid w:val="00024609"/>
    <w:rsid w:val="000246B6"/>
    <w:rsid w:val="00027F8C"/>
    <w:rsid w:val="00031BF5"/>
    <w:rsid w:val="00040918"/>
    <w:rsid w:val="000451C1"/>
    <w:rsid w:val="00045B93"/>
    <w:rsid w:val="00046C38"/>
    <w:rsid w:val="00054CAC"/>
    <w:rsid w:val="000628A0"/>
    <w:rsid w:val="00065609"/>
    <w:rsid w:val="00065ED9"/>
    <w:rsid w:val="00066762"/>
    <w:rsid w:val="00066810"/>
    <w:rsid w:val="00070570"/>
    <w:rsid w:val="0007102F"/>
    <w:rsid w:val="000711D1"/>
    <w:rsid w:val="00071437"/>
    <w:rsid w:val="000722B5"/>
    <w:rsid w:val="000757E8"/>
    <w:rsid w:val="00075CAC"/>
    <w:rsid w:val="00075FB3"/>
    <w:rsid w:val="000800F1"/>
    <w:rsid w:val="000815C8"/>
    <w:rsid w:val="0008388B"/>
    <w:rsid w:val="0008506F"/>
    <w:rsid w:val="00085300"/>
    <w:rsid w:val="00086DA2"/>
    <w:rsid w:val="00093EF4"/>
    <w:rsid w:val="00095432"/>
    <w:rsid w:val="000A26C6"/>
    <w:rsid w:val="000A426F"/>
    <w:rsid w:val="000B184E"/>
    <w:rsid w:val="000B3287"/>
    <w:rsid w:val="000B35A0"/>
    <w:rsid w:val="000B73CC"/>
    <w:rsid w:val="000C0C5B"/>
    <w:rsid w:val="000C2553"/>
    <w:rsid w:val="000C4FFD"/>
    <w:rsid w:val="000C5EAE"/>
    <w:rsid w:val="000C73FE"/>
    <w:rsid w:val="000D0E3A"/>
    <w:rsid w:val="000D18FE"/>
    <w:rsid w:val="000D26B8"/>
    <w:rsid w:val="000D65F6"/>
    <w:rsid w:val="000E34BF"/>
    <w:rsid w:val="000E7568"/>
    <w:rsid w:val="000F0FEE"/>
    <w:rsid w:val="000F1B5D"/>
    <w:rsid w:val="000F3C9D"/>
    <w:rsid w:val="0010457B"/>
    <w:rsid w:val="00106A87"/>
    <w:rsid w:val="001111E9"/>
    <w:rsid w:val="001113DA"/>
    <w:rsid w:val="0011268F"/>
    <w:rsid w:val="00117D54"/>
    <w:rsid w:val="00123507"/>
    <w:rsid w:val="0012458B"/>
    <w:rsid w:val="001321CE"/>
    <w:rsid w:val="001330CA"/>
    <w:rsid w:val="00134152"/>
    <w:rsid w:val="001366D1"/>
    <w:rsid w:val="00144DBF"/>
    <w:rsid w:val="00144E7E"/>
    <w:rsid w:val="0014674E"/>
    <w:rsid w:val="00146D45"/>
    <w:rsid w:val="0015380E"/>
    <w:rsid w:val="001621DB"/>
    <w:rsid w:val="00162E7B"/>
    <w:rsid w:val="00163663"/>
    <w:rsid w:val="00164651"/>
    <w:rsid w:val="001661CC"/>
    <w:rsid w:val="0016653D"/>
    <w:rsid w:val="00170A92"/>
    <w:rsid w:val="00173833"/>
    <w:rsid w:val="00183720"/>
    <w:rsid w:val="0018376E"/>
    <w:rsid w:val="00184EE8"/>
    <w:rsid w:val="00186672"/>
    <w:rsid w:val="001903B3"/>
    <w:rsid w:val="00192B88"/>
    <w:rsid w:val="00193732"/>
    <w:rsid w:val="00193FAB"/>
    <w:rsid w:val="00194128"/>
    <w:rsid w:val="001942E5"/>
    <w:rsid w:val="001966AC"/>
    <w:rsid w:val="00196EFF"/>
    <w:rsid w:val="001971A1"/>
    <w:rsid w:val="001973AD"/>
    <w:rsid w:val="001A001E"/>
    <w:rsid w:val="001A2489"/>
    <w:rsid w:val="001A2CCF"/>
    <w:rsid w:val="001A6A9F"/>
    <w:rsid w:val="001A7C4D"/>
    <w:rsid w:val="001B126E"/>
    <w:rsid w:val="001B2C3D"/>
    <w:rsid w:val="001B4603"/>
    <w:rsid w:val="001B4DDE"/>
    <w:rsid w:val="001B53ED"/>
    <w:rsid w:val="001C5678"/>
    <w:rsid w:val="001C7528"/>
    <w:rsid w:val="001D11F8"/>
    <w:rsid w:val="001D575F"/>
    <w:rsid w:val="001D5DD6"/>
    <w:rsid w:val="001F201E"/>
    <w:rsid w:val="001F7064"/>
    <w:rsid w:val="001F7644"/>
    <w:rsid w:val="002019AF"/>
    <w:rsid w:val="002034A6"/>
    <w:rsid w:val="00203BF5"/>
    <w:rsid w:val="00204BA0"/>
    <w:rsid w:val="00212E86"/>
    <w:rsid w:val="0022276A"/>
    <w:rsid w:val="00225F97"/>
    <w:rsid w:val="00230574"/>
    <w:rsid w:val="00230A9D"/>
    <w:rsid w:val="002310F7"/>
    <w:rsid w:val="00235C37"/>
    <w:rsid w:val="00240284"/>
    <w:rsid w:val="00242CFA"/>
    <w:rsid w:val="00251F65"/>
    <w:rsid w:val="002530A6"/>
    <w:rsid w:val="0026289C"/>
    <w:rsid w:val="00262C4B"/>
    <w:rsid w:val="00262D0B"/>
    <w:rsid w:val="0026357E"/>
    <w:rsid w:val="002645D7"/>
    <w:rsid w:val="00264AD5"/>
    <w:rsid w:val="002665DB"/>
    <w:rsid w:val="00267965"/>
    <w:rsid w:val="00271ED2"/>
    <w:rsid w:val="00276878"/>
    <w:rsid w:val="00281B48"/>
    <w:rsid w:val="002839D4"/>
    <w:rsid w:val="00284018"/>
    <w:rsid w:val="002858C9"/>
    <w:rsid w:val="00285D3B"/>
    <w:rsid w:val="002918C3"/>
    <w:rsid w:val="0029296F"/>
    <w:rsid w:val="00292A02"/>
    <w:rsid w:val="0029455E"/>
    <w:rsid w:val="002A4260"/>
    <w:rsid w:val="002B2A03"/>
    <w:rsid w:val="002B3BD4"/>
    <w:rsid w:val="002B77F9"/>
    <w:rsid w:val="002C03D3"/>
    <w:rsid w:val="002C179D"/>
    <w:rsid w:val="002C180C"/>
    <w:rsid w:val="002C391E"/>
    <w:rsid w:val="002C5018"/>
    <w:rsid w:val="002C59B9"/>
    <w:rsid w:val="002C78B4"/>
    <w:rsid w:val="002D33B4"/>
    <w:rsid w:val="002D40B8"/>
    <w:rsid w:val="002D57BE"/>
    <w:rsid w:val="002D5F6E"/>
    <w:rsid w:val="002D65E2"/>
    <w:rsid w:val="002D689E"/>
    <w:rsid w:val="002D7535"/>
    <w:rsid w:val="002E25C5"/>
    <w:rsid w:val="002E39BC"/>
    <w:rsid w:val="002E4208"/>
    <w:rsid w:val="002E5D91"/>
    <w:rsid w:val="002F1259"/>
    <w:rsid w:val="002F13AF"/>
    <w:rsid w:val="002F15EB"/>
    <w:rsid w:val="002F3E2D"/>
    <w:rsid w:val="002F53C9"/>
    <w:rsid w:val="002F6B15"/>
    <w:rsid w:val="00301109"/>
    <w:rsid w:val="00302C88"/>
    <w:rsid w:val="0030313C"/>
    <w:rsid w:val="00303201"/>
    <w:rsid w:val="003071E8"/>
    <w:rsid w:val="003101CB"/>
    <w:rsid w:val="00310C45"/>
    <w:rsid w:val="00311510"/>
    <w:rsid w:val="0031371F"/>
    <w:rsid w:val="00313BB2"/>
    <w:rsid w:val="00320B6E"/>
    <w:rsid w:val="0033117D"/>
    <w:rsid w:val="0033293C"/>
    <w:rsid w:val="0033450F"/>
    <w:rsid w:val="0033457E"/>
    <w:rsid w:val="0033562E"/>
    <w:rsid w:val="00336626"/>
    <w:rsid w:val="00340D7B"/>
    <w:rsid w:val="003426DB"/>
    <w:rsid w:val="00344ED8"/>
    <w:rsid w:val="00346F70"/>
    <w:rsid w:val="00351251"/>
    <w:rsid w:val="00353662"/>
    <w:rsid w:val="003564DD"/>
    <w:rsid w:val="003573B3"/>
    <w:rsid w:val="0035772D"/>
    <w:rsid w:val="003601DD"/>
    <w:rsid w:val="00361B66"/>
    <w:rsid w:val="00363C61"/>
    <w:rsid w:val="00364715"/>
    <w:rsid w:val="00365754"/>
    <w:rsid w:val="00366DB4"/>
    <w:rsid w:val="00367BA7"/>
    <w:rsid w:val="003711B0"/>
    <w:rsid w:val="00371369"/>
    <w:rsid w:val="00375A98"/>
    <w:rsid w:val="00376B19"/>
    <w:rsid w:val="00377173"/>
    <w:rsid w:val="0038177B"/>
    <w:rsid w:val="00383831"/>
    <w:rsid w:val="00383D9E"/>
    <w:rsid w:val="00385C63"/>
    <w:rsid w:val="00390B29"/>
    <w:rsid w:val="00392F83"/>
    <w:rsid w:val="00395FD3"/>
    <w:rsid w:val="003A1679"/>
    <w:rsid w:val="003A4795"/>
    <w:rsid w:val="003A4996"/>
    <w:rsid w:val="003A4D32"/>
    <w:rsid w:val="003A597A"/>
    <w:rsid w:val="003A7169"/>
    <w:rsid w:val="003B019B"/>
    <w:rsid w:val="003B07BF"/>
    <w:rsid w:val="003B1D8B"/>
    <w:rsid w:val="003B2BF5"/>
    <w:rsid w:val="003B5D1F"/>
    <w:rsid w:val="003B7811"/>
    <w:rsid w:val="003C3257"/>
    <w:rsid w:val="003C3A71"/>
    <w:rsid w:val="003C4759"/>
    <w:rsid w:val="003C5F78"/>
    <w:rsid w:val="003D0981"/>
    <w:rsid w:val="003D114F"/>
    <w:rsid w:val="003E4018"/>
    <w:rsid w:val="003E43AE"/>
    <w:rsid w:val="003F07FE"/>
    <w:rsid w:val="003F26F8"/>
    <w:rsid w:val="003F51C6"/>
    <w:rsid w:val="004002C3"/>
    <w:rsid w:val="0040067B"/>
    <w:rsid w:val="004023F3"/>
    <w:rsid w:val="00404FF0"/>
    <w:rsid w:val="0041102A"/>
    <w:rsid w:val="00411565"/>
    <w:rsid w:val="004117C6"/>
    <w:rsid w:val="00412DB4"/>
    <w:rsid w:val="004201B0"/>
    <w:rsid w:val="004209D7"/>
    <w:rsid w:val="00422111"/>
    <w:rsid w:val="00423319"/>
    <w:rsid w:val="00424BF7"/>
    <w:rsid w:val="0043000C"/>
    <w:rsid w:val="00430303"/>
    <w:rsid w:val="004328E2"/>
    <w:rsid w:val="00432E10"/>
    <w:rsid w:val="00434345"/>
    <w:rsid w:val="004432CA"/>
    <w:rsid w:val="0044508E"/>
    <w:rsid w:val="004535FC"/>
    <w:rsid w:val="00457804"/>
    <w:rsid w:val="00460518"/>
    <w:rsid w:val="00461903"/>
    <w:rsid w:val="00463906"/>
    <w:rsid w:val="00465BA5"/>
    <w:rsid w:val="00472203"/>
    <w:rsid w:val="004756B9"/>
    <w:rsid w:val="00476FC6"/>
    <w:rsid w:val="00477776"/>
    <w:rsid w:val="00481F8C"/>
    <w:rsid w:val="004845D9"/>
    <w:rsid w:val="004908A9"/>
    <w:rsid w:val="0049284D"/>
    <w:rsid w:val="00493C1B"/>
    <w:rsid w:val="00494937"/>
    <w:rsid w:val="00494B51"/>
    <w:rsid w:val="00497D20"/>
    <w:rsid w:val="004A0AF3"/>
    <w:rsid w:val="004A3F91"/>
    <w:rsid w:val="004A5265"/>
    <w:rsid w:val="004B0A44"/>
    <w:rsid w:val="004B0A6D"/>
    <w:rsid w:val="004B5617"/>
    <w:rsid w:val="004B707F"/>
    <w:rsid w:val="004C322B"/>
    <w:rsid w:val="004C6332"/>
    <w:rsid w:val="004C7495"/>
    <w:rsid w:val="004D1A09"/>
    <w:rsid w:val="004D58FE"/>
    <w:rsid w:val="004D5CF0"/>
    <w:rsid w:val="004D7EC6"/>
    <w:rsid w:val="004E08B5"/>
    <w:rsid w:val="004E294A"/>
    <w:rsid w:val="004E2DB9"/>
    <w:rsid w:val="004E7AB6"/>
    <w:rsid w:val="004F095A"/>
    <w:rsid w:val="004F14B8"/>
    <w:rsid w:val="004F1D11"/>
    <w:rsid w:val="004F41BB"/>
    <w:rsid w:val="004F5556"/>
    <w:rsid w:val="004F7D81"/>
    <w:rsid w:val="005019C8"/>
    <w:rsid w:val="00502236"/>
    <w:rsid w:val="0050447C"/>
    <w:rsid w:val="00506395"/>
    <w:rsid w:val="00506AD5"/>
    <w:rsid w:val="00512F0A"/>
    <w:rsid w:val="005137A7"/>
    <w:rsid w:val="00515512"/>
    <w:rsid w:val="00517612"/>
    <w:rsid w:val="00521A1C"/>
    <w:rsid w:val="00524B8D"/>
    <w:rsid w:val="00524DEA"/>
    <w:rsid w:val="00527384"/>
    <w:rsid w:val="00534CD6"/>
    <w:rsid w:val="00534E3F"/>
    <w:rsid w:val="00540039"/>
    <w:rsid w:val="00540AB1"/>
    <w:rsid w:val="00542B44"/>
    <w:rsid w:val="00542C46"/>
    <w:rsid w:val="005448B5"/>
    <w:rsid w:val="00544976"/>
    <w:rsid w:val="00546370"/>
    <w:rsid w:val="005477FB"/>
    <w:rsid w:val="005478A7"/>
    <w:rsid w:val="00551B36"/>
    <w:rsid w:val="00554C14"/>
    <w:rsid w:val="005556BD"/>
    <w:rsid w:val="00561266"/>
    <w:rsid w:val="00563AE0"/>
    <w:rsid w:val="0056436B"/>
    <w:rsid w:val="0056598B"/>
    <w:rsid w:val="005677AE"/>
    <w:rsid w:val="0057137F"/>
    <w:rsid w:val="00573E8A"/>
    <w:rsid w:val="00574DEC"/>
    <w:rsid w:val="005761DA"/>
    <w:rsid w:val="00577162"/>
    <w:rsid w:val="00581585"/>
    <w:rsid w:val="005846E1"/>
    <w:rsid w:val="00584FCF"/>
    <w:rsid w:val="00586888"/>
    <w:rsid w:val="005919E4"/>
    <w:rsid w:val="00592250"/>
    <w:rsid w:val="005956DA"/>
    <w:rsid w:val="005A2F7F"/>
    <w:rsid w:val="005A7C19"/>
    <w:rsid w:val="005A7FAB"/>
    <w:rsid w:val="005B2EB1"/>
    <w:rsid w:val="005B31A6"/>
    <w:rsid w:val="005B3308"/>
    <w:rsid w:val="005B7170"/>
    <w:rsid w:val="005C0A5F"/>
    <w:rsid w:val="005C0D5D"/>
    <w:rsid w:val="005C2B2E"/>
    <w:rsid w:val="005C3840"/>
    <w:rsid w:val="005C4557"/>
    <w:rsid w:val="005C5171"/>
    <w:rsid w:val="005C6FCF"/>
    <w:rsid w:val="005D2113"/>
    <w:rsid w:val="005D4766"/>
    <w:rsid w:val="005E0065"/>
    <w:rsid w:val="005E03A8"/>
    <w:rsid w:val="005E09DF"/>
    <w:rsid w:val="005E3C5C"/>
    <w:rsid w:val="005E42E2"/>
    <w:rsid w:val="005E7161"/>
    <w:rsid w:val="005E75ED"/>
    <w:rsid w:val="005F2A2A"/>
    <w:rsid w:val="005F379E"/>
    <w:rsid w:val="005F45F5"/>
    <w:rsid w:val="005F6227"/>
    <w:rsid w:val="005F7C9B"/>
    <w:rsid w:val="00600D20"/>
    <w:rsid w:val="00601B5C"/>
    <w:rsid w:val="00603D1D"/>
    <w:rsid w:val="00605BF2"/>
    <w:rsid w:val="006107EA"/>
    <w:rsid w:val="00621152"/>
    <w:rsid w:val="006221ED"/>
    <w:rsid w:val="00623965"/>
    <w:rsid w:val="00626011"/>
    <w:rsid w:val="00626EB1"/>
    <w:rsid w:val="00627293"/>
    <w:rsid w:val="00630C42"/>
    <w:rsid w:val="006344CE"/>
    <w:rsid w:val="006359E8"/>
    <w:rsid w:val="00640A60"/>
    <w:rsid w:val="00642F0E"/>
    <w:rsid w:val="00643724"/>
    <w:rsid w:val="006503AE"/>
    <w:rsid w:val="00652879"/>
    <w:rsid w:val="00652F4E"/>
    <w:rsid w:val="0065428F"/>
    <w:rsid w:val="006545E4"/>
    <w:rsid w:val="00656A84"/>
    <w:rsid w:val="00660FF7"/>
    <w:rsid w:val="006618A4"/>
    <w:rsid w:val="00661F22"/>
    <w:rsid w:val="00664C7C"/>
    <w:rsid w:val="00664E54"/>
    <w:rsid w:val="006703BD"/>
    <w:rsid w:val="00670D6B"/>
    <w:rsid w:val="00670DCE"/>
    <w:rsid w:val="006739E7"/>
    <w:rsid w:val="00673BE7"/>
    <w:rsid w:val="00673E93"/>
    <w:rsid w:val="00674AF1"/>
    <w:rsid w:val="0067536F"/>
    <w:rsid w:val="00676F80"/>
    <w:rsid w:val="00680593"/>
    <w:rsid w:val="00683DB8"/>
    <w:rsid w:val="00684AF8"/>
    <w:rsid w:val="00685D6D"/>
    <w:rsid w:val="00686C24"/>
    <w:rsid w:val="006917F3"/>
    <w:rsid w:val="006A5430"/>
    <w:rsid w:val="006A579E"/>
    <w:rsid w:val="006B03FE"/>
    <w:rsid w:val="006B2469"/>
    <w:rsid w:val="006B2ACE"/>
    <w:rsid w:val="006B2C68"/>
    <w:rsid w:val="006B670C"/>
    <w:rsid w:val="006C14F4"/>
    <w:rsid w:val="006C1E29"/>
    <w:rsid w:val="006C5E98"/>
    <w:rsid w:val="006C6CD2"/>
    <w:rsid w:val="006D0D71"/>
    <w:rsid w:val="006D157F"/>
    <w:rsid w:val="006D2C62"/>
    <w:rsid w:val="006D4D77"/>
    <w:rsid w:val="006D704F"/>
    <w:rsid w:val="006D74FB"/>
    <w:rsid w:val="006D75C0"/>
    <w:rsid w:val="006E0345"/>
    <w:rsid w:val="006E2F5E"/>
    <w:rsid w:val="006F164C"/>
    <w:rsid w:val="006F3056"/>
    <w:rsid w:val="006F7479"/>
    <w:rsid w:val="00701689"/>
    <w:rsid w:val="00703191"/>
    <w:rsid w:val="00703A0A"/>
    <w:rsid w:val="00703E93"/>
    <w:rsid w:val="00705EE7"/>
    <w:rsid w:val="00706A63"/>
    <w:rsid w:val="0071050C"/>
    <w:rsid w:val="00710DD1"/>
    <w:rsid w:val="0071219D"/>
    <w:rsid w:val="00716E01"/>
    <w:rsid w:val="0072647D"/>
    <w:rsid w:val="00726B33"/>
    <w:rsid w:val="00726C68"/>
    <w:rsid w:val="007321F3"/>
    <w:rsid w:val="00732801"/>
    <w:rsid w:val="00732AC9"/>
    <w:rsid w:val="00737B1E"/>
    <w:rsid w:val="00740F5D"/>
    <w:rsid w:val="00742935"/>
    <w:rsid w:val="00751B1B"/>
    <w:rsid w:val="00752FD9"/>
    <w:rsid w:val="007534F0"/>
    <w:rsid w:val="007546DB"/>
    <w:rsid w:val="007563F3"/>
    <w:rsid w:val="00757965"/>
    <w:rsid w:val="00757AC0"/>
    <w:rsid w:val="00762651"/>
    <w:rsid w:val="0076537E"/>
    <w:rsid w:val="007660BA"/>
    <w:rsid w:val="00766323"/>
    <w:rsid w:val="00766625"/>
    <w:rsid w:val="007667D7"/>
    <w:rsid w:val="00772674"/>
    <w:rsid w:val="00773E2F"/>
    <w:rsid w:val="007807F0"/>
    <w:rsid w:val="0078437C"/>
    <w:rsid w:val="00784474"/>
    <w:rsid w:val="0079413A"/>
    <w:rsid w:val="007969D8"/>
    <w:rsid w:val="007A1926"/>
    <w:rsid w:val="007A2EEC"/>
    <w:rsid w:val="007A3EEC"/>
    <w:rsid w:val="007A7CF7"/>
    <w:rsid w:val="007B7098"/>
    <w:rsid w:val="007C110A"/>
    <w:rsid w:val="007C11F0"/>
    <w:rsid w:val="007C25F3"/>
    <w:rsid w:val="007C29E5"/>
    <w:rsid w:val="007C2DFC"/>
    <w:rsid w:val="007C3BF2"/>
    <w:rsid w:val="007C3E23"/>
    <w:rsid w:val="007C3E6F"/>
    <w:rsid w:val="007C6CEA"/>
    <w:rsid w:val="007D1BFF"/>
    <w:rsid w:val="007D2B3E"/>
    <w:rsid w:val="007D2CD4"/>
    <w:rsid w:val="007D3336"/>
    <w:rsid w:val="007D3E6D"/>
    <w:rsid w:val="007D538E"/>
    <w:rsid w:val="007D79E3"/>
    <w:rsid w:val="007E1DBB"/>
    <w:rsid w:val="007E4950"/>
    <w:rsid w:val="007E775B"/>
    <w:rsid w:val="007F1EF6"/>
    <w:rsid w:val="007F2406"/>
    <w:rsid w:val="007F3379"/>
    <w:rsid w:val="007F33EB"/>
    <w:rsid w:val="007F48AC"/>
    <w:rsid w:val="00800152"/>
    <w:rsid w:val="00800D1C"/>
    <w:rsid w:val="0080121A"/>
    <w:rsid w:val="0080333C"/>
    <w:rsid w:val="008036F1"/>
    <w:rsid w:val="00807031"/>
    <w:rsid w:val="00811BA2"/>
    <w:rsid w:val="00811E3C"/>
    <w:rsid w:val="00814934"/>
    <w:rsid w:val="00815118"/>
    <w:rsid w:val="00815890"/>
    <w:rsid w:val="00816662"/>
    <w:rsid w:val="0082179E"/>
    <w:rsid w:val="00822B40"/>
    <w:rsid w:val="00823082"/>
    <w:rsid w:val="0082542C"/>
    <w:rsid w:val="00826967"/>
    <w:rsid w:val="008270E4"/>
    <w:rsid w:val="008300DB"/>
    <w:rsid w:val="00830264"/>
    <w:rsid w:val="00832BAF"/>
    <w:rsid w:val="008334AD"/>
    <w:rsid w:val="00833994"/>
    <w:rsid w:val="00833EE2"/>
    <w:rsid w:val="008357A1"/>
    <w:rsid w:val="00836667"/>
    <w:rsid w:val="00845E35"/>
    <w:rsid w:val="008462DE"/>
    <w:rsid w:val="00846332"/>
    <w:rsid w:val="00846543"/>
    <w:rsid w:val="008503C9"/>
    <w:rsid w:val="00850EA7"/>
    <w:rsid w:val="00854B79"/>
    <w:rsid w:val="00854DAB"/>
    <w:rsid w:val="00854E63"/>
    <w:rsid w:val="00855D75"/>
    <w:rsid w:val="00856036"/>
    <w:rsid w:val="00856DE5"/>
    <w:rsid w:val="008630F6"/>
    <w:rsid w:val="0086450D"/>
    <w:rsid w:val="008718FC"/>
    <w:rsid w:val="008721B3"/>
    <w:rsid w:val="008752CE"/>
    <w:rsid w:val="00875438"/>
    <w:rsid w:val="008759D5"/>
    <w:rsid w:val="00877DB3"/>
    <w:rsid w:val="00880554"/>
    <w:rsid w:val="008821E5"/>
    <w:rsid w:val="00882809"/>
    <w:rsid w:val="00883161"/>
    <w:rsid w:val="0088432E"/>
    <w:rsid w:val="00890045"/>
    <w:rsid w:val="00890612"/>
    <w:rsid w:val="00891394"/>
    <w:rsid w:val="0089619C"/>
    <w:rsid w:val="00897CC8"/>
    <w:rsid w:val="008A2F95"/>
    <w:rsid w:val="008A3F6C"/>
    <w:rsid w:val="008A4107"/>
    <w:rsid w:val="008A432B"/>
    <w:rsid w:val="008A46E9"/>
    <w:rsid w:val="008A708E"/>
    <w:rsid w:val="008A7B1C"/>
    <w:rsid w:val="008B05B4"/>
    <w:rsid w:val="008B226D"/>
    <w:rsid w:val="008B281F"/>
    <w:rsid w:val="008B364E"/>
    <w:rsid w:val="008B5535"/>
    <w:rsid w:val="008B6A8E"/>
    <w:rsid w:val="008C0745"/>
    <w:rsid w:val="008C094D"/>
    <w:rsid w:val="008C2392"/>
    <w:rsid w:val="008C3FE6"/>
    <w:rsid w:val="008C6ADC"/>
    <w:rsid w:val="008E1877"/>
    <w:rsid w:val="008E1E9C"/>
    <w:rsid w:val="008E5C7D"/>
    <w:rsid w:val="008E5E7A"/>
    <w:rsid w:val="008E60F4"/>
    <w:rsid w:val="008E6877"/>
    <w:rsid w:val="008F1785"/>
    <w:rsid w:val="008F2C45"/>
    <w:rsid w:val="008F320A"/>
    <w:rsid w:val="0090538C"/>
    <w:rsid w:val="00905855"/>
    <w:rsid w:val="00915711"/>
    <w:rsid w:val="00915EE6"/>
    <w:rsid w:val="00917890"/>
    <w:rsid w:val="009213A0"/>
    <w:rsid w:val="009213DF"/>
    <w:rsid w:val="0092190B"/>
    <w:rsid w:val="00922950"/>
    <w:rsid w:val="0093004F"/>
    <w:rsid w:val="009329C6"/>
    <w:rsid w:val="0093577C"/>
    <w:rsid w:val="00942418"/>
    <w:rsid w:val="0094246B"/>
    <w:rsid w:val="00945931"/>
    <w:rsid w:val="00945DCD"/>
    <w:rsid w:val="00946865"/>
    <w:rsid w:val="009504F9"/>
    <w:rsid w:val="00950745"/>
    <w:rsid w:val="009537DB"/>
    <w:rsid w:val="00954DA8"/>
    <w:rsid w:val="009565E8"/>
    <w:rsid w:val="009566D7"/>
    <w:rsid w:val="00960BFB"/>
    <w:rsid w:val="00964A86"/>
    <w:rsid w:val="0096548A"/>
    <w:rsid w:val="009660B3"/>
    <w:rsid w:val="00966F7B"/>
    <w:rsid w:val="00967CC7"/>
    <w:rsid w:val="00973BEC"/>
    <w:rsid w:val="0097481A"/>
    <w:rsid w:val="00975A52"/>
    <w:rsid w:val="00976722"/>
    <w:rsid w:val="009772C6"/>
    <w:rsid w:val="009779F2"/>
    <w:rsid w:val="00980836"/>
    <w:rsid w:val="00981687"/>
    <w:rsid w:val="00981CFB"/>
    <w:rsid w:val="009820C4"/>
    <w:rsid w:val="0098407D"/>
    <w:rsid w:val="009842EE"/>
    <w:rsid w:val="009855F8"/>
    <w:rsid w:val="00987848"/>
    <w:rsid w:val="00990997"/>
    <w:rsid w:val="009A16D7"/>
    <w:rsid w:val="009A602F"/>
    <w:rsid w:val="009A79C5"/>
    <w:rsid w:val="009B121A"/>
    <w:rsid w:val="009B23C7"/>
    <w:rsid w:val="009B27FB"/>
    <w:rsid w:val="009B3A85"/>
    <w:rsid w:val="009B77C7"/>
    <w:rsid w:val="009C0B57"/>
    <w:rsid w:val="009C0C5A"/>
    <w:rsid w:val="009D1005"/>
    <w:rsid w:val="009D1167"/>
    <w:rsid w:val="009D129D"/>
    <w:rsid w:val="009D4289"/>
    <w:rsid w:val="009E00BD"/>
    <w:rsid w:val="009E09FD"/>
    <w:rsid w:val="009E13D1"/>
    <w:rsid w:val="009E3453"/>
    <w:rsid w:val="009E4882"/>
    <w:rsid w:val="009E5740"/>
    <w:rsid w:val="009E7559"/>
    <w:rsid w:val="009E7EFB"/>
    <w:rsid w:val="009F19D1"/>
    <w:rsid w:val="009F5E70"/>
    <w:rsid w:val="009F64AD"/>
    <w:rsid w:val="009F6C5B"/>
    <w:rsid w:val="009F7BF2"/>
    <w:rsid w:val="00A054E6"/>
    <w:rsid w:val="00A13607"/>
    <w:rsid w:val="00A147F0"/>
    <w:rsid w:val="00A147F7"/>
    <w:rsid w:val="00A21829"/>
    <w:rsid w:val="00A251C1"/>
    <w:rsid w:val="00A251DF"/>
    <w:rsid w:val="00A260B2"/>
    <w:rsid w:val="00A26979"/>
    <w:rsid w:val="00A35EA3"/>
    <w:rsid w:val="00A43F4D"/>
    <w:rsid w:val="00A47953"/>
    <w:rsid w:val="00A532E2"/>
    <w:rsid w:val="00A54409"/>
    <w:rsid w:val="00A6198B"/>
    <w:rsid w:val="00A63FB8"/>
    <w:rsid w:val="00A661A4"/>
    <w:rsid w:val="00A710D8"/>
    <w:rsid w:val="00A7537C"/>
    <w:rsid w:val="00A75E72"/>
    <w:rsid w:val="00A80B7D"/>
    <w:rsid w:val="00A81D59"/>
    <w:rsid w:val="00A82027"/>
    <w:rsid w:val="00A83B0B"/>
    <w:rsid w:val="00A841F6"/>
    <w:rsid w:val="00A9054C"/>
    <w:rsid w:val="00A91C66"/>
    <w:rsid w:val="00A9221A"/>
    <w:rsid w:val="00A93E16"/>
    <w:rsid w:val="00A942E3"/>
    <w:rsid w:val="00A96111"/>
    <w:rsid w:val="00A96FDB"/>
    <w:rsid w:val="00AA041A"/>
    <w:rsid w:val="00AA0C56"/>
    <w:rsid w:val="00AA2325"/>
    <w:rsid w:val="00AA365B"/>
    <w:rsid w:val="00AA4F7E"/>
    <w:rsid w:val="00AB062F"/>
    <w:rsid w:val="00AB0B59"/>
    <w:rsid w:val="00AB173B"/>
    <w:rsid w:val="00AB3E65"/>
    <w:rsid w:val="00AB4253"/>
    <w:rsid w:val="00AB4852"/>
    <w:rsid w:val="00AB5E1E"/>
    <w:rsid w:val="00AB60A2"/>
    <w:rsid w:val="00AB7DE5"/>
    <w:rsid w:val="00AC1C41"/>
    <w:rsid w:val="00AC390F"/>
    <w:rsid w:val="00AD0F27"/>
    <w:rsid w:val="00AD1950"/>
    <w:rsid w:val="00AD1C6E"/>
    <w:rsid w:val="00AD1D71"/>
    <w:rsid w:val="00AD2244"/>
    <w:rsid w:val="00AD2316"/>
    <w:rsid w:val="00AD4EB6"/>
    <w:rsid w:val="00AD58E3"/>
    <w:rsid w:val="00AD6E12"/>
    <w:rsid w:val="00AE01B7"/>
    <w:rsid w:val="00AE1B2B"/>
    <w:rsid w:val="00AE42D6"/>
    <w:rsid w:val="00AE6A64"/>
    <w:rsid w:val="00AE7AA7"/>
    <w:rsid w:val="00AF0D43"/>
    <w:rsid w:val="00AF19FE"/>
    <w:rsid w:val="00AF1C9A"/>
    <w:rsid w:val="00AF6772"/>
    <w:rsid w:val="00AF7134"/>
    <w:rsid w:val="00AF7705"/>
    <w:rsid w:val="00AF77D7"/>
    <w:rsid w:val="00B00658"/>
    <w:rsid w:val="00B02A7A"/>
    <w:rsid w:val="00B0459B"/>
    <w:rsid w:val="00B05FD9"/>
    <w:rsid w:val="00B06295"/>
    <w:rsid w:val="00B06A7E"/>
    <w:rsid w:val="00B108F4"/>
    <w:rsid w:val="00B12BBB"/>
    <w:rsid w:val="00B14995"/>
    <w:rsid w:val="00B1639B"/>
    <w:rsid w:val="00B16666"/>
    <w:rsid w:val="00B24093"/>
    <w:rsid w:val="00B25379"/>
    <w:rsid w:val="00B25CC6"/>
    <w:rsid w:val="00B26E47"/>
    <w:rsid w:val="00B27193"/>
    <w:rsid w:val="00B37DDC"/>
    <w:rsid w:val="00B4098A"/>
    <w:rsid w:val="00B41692"/>
    <w:rsid w:val="00B434C4"/>
    <w:rsid w:val="00B45548"/>
    <w:rsid w:val="00B45659"/>
    <w:rsid w:val="00B5231A"/>
    <w:rsid w:val="00B5255D"/>
    <w:rsid w:val="00B526BC"/>
    <w:rsid w:val="00B5570A"/>
    <w:rsid w:val="00B561F3"/>
    <w:rsid w:val="00B57AA0"/>
    <w:rsid w:val="00B62A23"/>
    <w:rsid w:val="00B641F9"/>
    <w:rsid w:val="00B70AB0"/>
    <w:rsid w:val="00B7182B"/>
    <w:rsid w:val="00B734DD"/>
    <w:rsid w:val="00B75D74"/>
    <w:rsid w:val="00B76F7D"/>
    <w:rsid w:val="00B8223C"/>
    <w:rsid w:val="00B8421F"/>
    <w:rsid w:val="00B843ED"/>
    <w:rsid w:val="00B86A0C"/>
    <w:rsid w:val="00B91E5B"/>
    <w:rsid w:val="00B92466"/>
    <w:rsid w:val="00B93506"/>
    <w:rsid w:val="00B93519"/>
    <w:rsid w:val="00B93F82"/>
    <w:rsid w:val="00BA26ED"/>
    <w:rsid w:val="00BA33C9"/>
    <w:rsid w:val="00BB1604"/>
    <w:rsid w:val="00BB300B"/>
    <w:rsid w:val="00BB455D"/>
    <w:rsid w:val="00BB4FBA"/>
    <w:rsid w:val="00BB743A"/>
    <w:rsid w:val="00BC0858"/>
    <w:rsid w:val="00BC1B64"/>
    <w:rsid w:val="00BC432A"/>
    <w:rsid w:val="00BC5F4E"/>
    <w:rsid w:val="00BC6469"/>
    <w:rsid w:val="00BC7E24"/>
    <w:rsid w:val="00BD00B3"/>
    <w:rsid w:val="00BD567E"/>
    <w:rsid w:val="00BD57E2"/>
    <w:rsid w:val="00BD5886"/>
    <w:rsid w:val="00BD7070"/>
    <w:rsid w:val="00BF222A"/>
    <w:rsid w:val="00BF4126"/>
    <w:rsid w:val="00BF440C"/>
    <w:rsid w:val="00BF547F"/>
    <w:rsid w:val="00BF551D"/>
    <w:rsid w:val="00BF6978"/>
    <w:rsid w:val="00C03491"/>
    <w:rsid w:val="00C0530A"/>
    <w:rsid w:val="00C05728"/>
    <w:rsid w:val="00C06E54"/>
    <w:rsid w:val="00C073DF"/>
    <w:rsid w:val="00C110E9"/>
    <w:rsid w:val="00C118CE"/>
    <w:rsid w:val="00C12223"/>
    <w:rsid w:val="00C130A4"/>
    <w:rsid w:val="00C148B2"/>
    <w:rsid w:val="00C148D6"/>
    <w:rsid w:val="00C172DC"/>
    <w:rsid w:val="00C21D3A"/>
    <w:rsid w:val="00C22F6D"/>
    <w:rsid w:val="00C235D2"/>
    <w:rsid w:val="00C26386"/>
    <w:rsid w:val="00C31138"/>
    <w:rsid w:val="00C32CCF"/>
    <w:rsid w:val="00C339F5"/>
    <w:rsid w:val="00C4084A"/>
    <w:rsid w:val="00C50C44"/>
    <w:rsid w:val="00C5420D"/>
    <w:rsid w:val="00C54D62"/>
    <w:rsid w:val="00C5528C"/>
    <w:rsid w:val="00C57DFC"/>
    <w:rsid w:val="00C636DC"/>
    <w:rsid w:val="00C64B4F"/>
    <w:rsid w:val="00C66875"/>
    <w:rsid w:val="00C72FEF"/>
    <w:rsid w:val="00C7350D"/>
    <w:rsid w:val="00C73C9C"/>
    <w:rsid w:val="00C775B4"/>
    <w:rsid w:val="00C804C4"/>
    <w:rsid w:val="00C80F34"/>
    <w:rsid w:val="00C81B66"/>
    <w:rsid w:val="00C82ADE"/>
    <w:rsid w:val="00C84051"/>
    <w:rsid w:val="00C86214"/>
    <w:rsid w:val="00C86988"/>
    <w:rsid w:val="00C86C17"/>
    <w:rsid w:val="00C91C73"/>
    <w:rsid w:val="00C91CD5"/>
    <w:rsid w:val="00C925ED"/>
    <w:rsid w:val="00C9358A"/>
    <w:rsid w:val="00C96357"/>
    <w:rsid w:val="00C9754F"/>
    <w:rsid w:val="00CA077E"/>
    <w:rsid w:val="00CA3A45"/>
    <w:rsid w:val="00CA5560"/>
    <w:rsid w:val="00CA5D24"/>
    <w:rsid w:val="00CA6DD0"/>
    <w:rsid w:val="00CA7A35"/>
    <w:rsid w:val="00CB055A"/>
    <w:rsid w:val="00CB3D3B"/>
    <w:rsid w:val="00CB6DD3"/>
    <w:rsid w:val="00CC3526"/>
    <w:rsid w:val="00CC577D"/>
    <w:rsid w:val="00CC604B"/>
    <w:rsid w:val="00CC7CAE"/>
    <w:rsid w:val="00CD2009"/>
    <w:rsid w:val="00CD4A88"/>
    <w:rsid w:val="00CD4D21"/>
    <w:rsid w:val="00CE42C5"/>
    <w:rsid w:val="00CE5800"/>
    <w:rsid w:val="00CE5CD6"/>
    <w:rsid w:val="00CE5E5F"/>
    <w:rsid w:val="00CF0ED5"/>
    <w:rsid w:val="00CF3265"/>
    <w:rsid w:val="00CF3636"/>
    <w:rsid w:val="00CF51BE"/>
    <w:rsid w:val="00D02098"/>
    <w:rsid w:val="00D02E50"/>
    <w:rsid w:val="00D03BB6"/>
    <w:rsid w:val="00D068AA"/>
    <w:rsid w:val="00D07102"/>
    <w:rsid w:val="00D1068F"/>
    <w:rsid w:val="00D128C8"/>
    <w:rsid w:val="00D144D9"/>
    <w:rsid w:val="00D151C1"/>
    <w:rsid w:val="00D16700"/>
    <w:rsid w:val="00D16EE7"/>
    <w:rsid w:val="00D20CC0"/>
    <w:rsid w:val="00D20DBF"/>
    <w:rsid w:val="00D219D8"/>
    <w:rsid w:val="00D22F37"/>
    <w:rsid w:val="00D24D9D"/>
    <w:rsid w:val="00D25BF1"/>
    <w:rsid w:val="00D26CC7"/>
    <w:rsid w:val="00D33C00"/>
    <w:rsid w:val="00D34400"/>
    <w:rsid w:val="00D34455"/>
    <w:rsid w:val="00D351CB"/>
    <w:rsid w:val="00D352FB"/>
    <w:rsid w:val="00D40EC1"/>
    <w:rsid w:val="00D4325C"/>
    <w:rsid w:val="00D44123"/>
    <w:rsid w:val="00D44229"/>
    <w:rsid w:val="00D44F69"/>
    <w:rsid w:val="00D452A6"/>
    <w:rsid w:val="00D45A81"/>
    <w:rsid w:val="00D52372"/>
    <w:rsid w:val="00D52739"/>
    <w:rsid w:val="00D52ACF"/>
    <w:rsid w:val="00D53169"/>
    <w:rsid w:val="00D6022E"/>
    <w:rsid w:val="00D63694"/>
    <w:rsid w:val="00D65205"/>
    <w:rsid w:val="00D65302"/>
    <w:rsid w:val="00D67DE8"/>
    <w:rsid w:val="00D718D7"/>
    <w:rsid w:val="00D7413C"/>
    <w:rsid w:val="00D74BBD"/>
    <w:rsid w:val="00D76CA5"/>
    <w:rsid w:val="00D774FF"/>
    <w:rsid w:val="00D779DA"/>
    <w:rsid w:val="00D8272E"/>
    <w:rsid w:val="00D83C51"/>
    <w:rsid w:val="00D939E7"/>
    <w:rsid w:val="00D95A9A"/>
    <w:rsid w:val="00D96D1E"/>
    <w:rsid w:val="00DA14D6"/>
    <w:rsid w:val="00DA24F0"/>
    <w:rsid w:val="00DA4F88"/>
    <w:rsid w:val="00DA5318"/>
    <w:rsid w:val="00DB0D0F"/>
    <w:rsid w:val="00DB5930"/>
    <w:rsid w:val="00DB6241"/>
    <w:rsid w:val="00DC3B43"/>
    <w:rsid w:val="00DC6528"/>
    <w:rsid w:val="00DC6A57"/>
    <w:rsid w:val="00DC7364"/>
    <w:rsid w:val="00DD04DA"/>
    <w:rsid w:val="00DD2DEC"/>
    <w:rsid w:val="00DD458C"/>
    <w:rsid w:val="00DD4911"/>
    <w:rsid w:val="00DD5A6B"/>
    <w:rsid w:val="00DE3DAC"/>
    <w:rsid w:val="00DE55C9"/>
    <w:rsid w:val="00DE6F34"/>
    <w:rsid w:val="00DE7CE3"/>
    <w:rsid w:val="00E002DF"/>
    <w:rsid w:val="00E01968"/>
    <w:rsid w:val="00E03274"/>
    <w:rsid w:val="00E06508"/>
    <w:rsid w:val="00E07476"/>
    <w:rsid w:val="00E17128"/>
    <w:rsid w:val="00E20FEA"/>
    <w:rsid w:val="00E22EA6"/>
    <w:rsid w:val="00E23AEC"/>
    <w:rsid w:val="00E276BC"/>
    <w:rsid w:val="00E27FDF"/>
    <w:rsid w:val="00E3171A"/>
    <w:rsid w:val="00E4427F"/>
    <w:rsid w:val="00E45186"/>
    <w:rsid w:val="00E518EB"/>
    <w:rsid w:val="00E54AE6"/>
    <w:rsid w:val="00E55F3C"/>
    <w:rsid w:val="00E56F98"/>
    <w:rsid w:val="00E5753C"/>
    <w:rsid w:val="00E57C8C"/>
    <w:rsid w:val="00E60042"/>
    <w:rsid w:val="00E64BCA"/>
    <w:rsid w:val="00E65B99"/>
    <w:rsid w:val="00E66146"/>
    <w:rsid w:val="00E702C0"/>
    <w:rsid w:val="00E708B5"/>
    <w:rsid w:val="00E70B9C"/>
    <w:rsid w:val="00E734C7"/>
    <w:rsid w:val="00E74D4B"/>
    <w:rsid w:val="00E75454"/>
    <w:rsid w:val="00E758C0"/>
    <w:rsid w:val="00E760BB"/>
    <w:rsid w:val="00E77642"/>
    <w:rsid w:val="00E80F4D"/>
    <w:rsid w:val="00E828C9"/>
    <w:rsid w:val="00E8498A"/>
    <w:rsid w:val="00E85CF2"/>
    <w:rsid w:val="00E874D6"/>
    <w:rsid w:val="00EA1566"/>
    <w:rsid w:val="00EA3AC4"/>
    <w:rsid w:val="00EA789C"/>
    <w:rsid w:val="00EB3A28"/>
    <w:rsid w:val="00EB636B"/>
    <w:rsid w:val="00EC29B8"/>
    <w:rsid w:val="00EC338B"/>
    <w:rsid w:val="00EC5AFB"/>
    <w:rsid w:val="00ED1C11"/>
    <w:rsid w:val="00ED690E"/>
    <w:rsid w:val="00ED6D01"/>
    <w:rsid w:val="00ED71CA"/>
    <w:rsid w:val="00EE3AAE"/>
    <w:rsid w:val="00EE3C77"/>
    <w:rsid w:val="00EE5F8A"/>
    <w:rsid w:val="00EE63EE"/>
    <w:rsid w:val="00EE7D52"/>
    <w:rsid w:val="00EE7DC4"/>
    <w:rsid w:val="00EF399E"/>
    <w:rsid w:val="00EF482B"/>
    <w:rsid w:val="00EF5CC8"/>
    <w:rsid w:val="00F0024F"/>
    <w:rsid w:val="00F02AC5"/>
    <w:rsid w:val="00F07DD6"/>
    <w:rsid w:val="00F1003A"/>
    <w:rsid w:val="00F12A72"/>
    <w:rsid w:val="00F14CFA"/>
    <w:rsid w:val="00F2069A"/>
    <w:rsid w:val="00F241B4"/>
    <w:rsid w:val="00F2455F"/>
    <w:rsid w:val="00F2633E"/>
    <w:rsid w:val="00F2694D"/>
    <w:rsid w:val="00F26A35"/>
    <w:rsid w:val="00F306E5"/>
    <w:rsid w:val="00F3384C"/>
    <w:rsid w:val="00F34D21"/>
    <w:rsid w:val="00F35614"/>
    <w:rsid w:val="00F42CE4"/>
    <w:rsid w:val="00F430D9"/>
    <w:rsid w:val="00F4534C"/>
    <w:rsid w:val="00F568A2"/>
    <w:rsid w:val="00F56C89"/>
    <w:rsid w:val="00F6133F"/>
    <w:rsid w:val="00F630B2"/>
    <w:rsid w:val="00F64D23"/>
    <w:rsid w:val="00F6501D"/>
    <w:rsid w:val="00F70025"/>
    <w:rsid w:val="00F72888"/>
    <w:rsid w:val="00F73262"/>
    <w:rsid w:val="00F74269"/>
    <w:rsid w:val="00F74566"/>
    <w:rsid w:val="00F761A5"/>
    <w:rsid w:val="00F764EF"/>
    <w:rsid w:val="00F777C6"/>
    <w:rsid w:val="00F81756"/>
    <w:rsid w:val="00F81D1E"/>
    <w:rsid w:val="00F81F0D"/>
    <w:rsid w:val="00F827BC"/>
    <w:rsid w:val="00F838D6"/>
    <w:rsid w:val="00F85F97"/>
    <w:rsid w:val="00F90FC6"/>
    <w:rsid w:val="00F92251"/>
    <w:rsid w:val="00F92435"/>
    <w:rsid w:val="00F957D1"/>
    <w:rsid w:val="00FA1976"/>
    <w:rsid w:val="00FA1DB9"/>
    <w:rsid w:val="00FA5D00"/>
    <w:rsid w:val="00FB03A0"/>
    <w:rsid w:val="00FB392C"/>
    <w:rsid w:val="00FB5287"/>
    <w:rsid w:val="00FC2450"/>
    <w:rsid w:val="00FC2BDF"/>
    <w:rsid w:val="00FC31A2"/>
    <w:rsid w:val="00FC3C68"/>
    <w:rsid w:val="00FC418C"/>
    <w:rsid w:val="00FC41F7"/>
    <w:rsid w:val="00FC5317"/>
    <w:rsid w:val="00FC65B5"/>
    <w:rsid w:val="00FC6936"/>
    <w:rsid w:val="00FD06CC"/>
    <w:rsid w:val="00FD1799"/>
    <w:rsid w:val="00FD3A31"/>
    <w:rsid w:val="00FD3C55"/>
    <w:rsid w:val="00FD4A2E"/>
    <w:rsid w:val="00FE01D7"/>
    <w:rsid w:val="00FE1533"/>
    <w:rsid w:val="00FE1F9E"/>
    <w:rsid w:val="00FE30FF"/>
    <w:rsid w:val="00FE5995"/>
    <w:rsid w:val="00FE6158"/>
    <w:rsid w:val="00FF0F5A"/>
    <w:rsid w:val="00FF2147"/>
    <w:rsid w:val="00FF233D"/>
    <w:rsid w:val="00FF34E7"/>
    <w:rsid w:val="00FF79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7DAD1E"/>
  <w15:docId w15:val="{DFF621C9-0224-483B-B4A6-69C3A80C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CD5"/>
    <w:pPr>
      <w:tabs>
        <w:tab w:val="left" w:pos="567"/>
      </w:tabs>
      <w:spacing w:after="120" w:line="276" w:lineRule="auto"/>
      <w:jc w:val="both"/>
    </w:pPr>
    <w:rPr>
      <w:rFonts w:ascii="Calibri" w:hAnsi="Calibri"/>
      <w:sz w:val="22"/>
    </w:rPr>
  </w:style>
  <w:style w:type="paragraph" w:styleId="Heading1">
    <w:name w:val="heading 1"/>
    <w:basedOn w:val="Normal"/>
    <w:next w:val="BodyText"/>
    <w:link w:val="Heading1Char"/>
    <w:qFormat/>
    <w:rsid w:val="007D3336"/>
    <w:pPr>
      <w:keepNext/>
      <w:tabs>
        <w:tab w:val="left" w:pos="1134"/>
        <w:tab w:val="left" w:pos="1701"/>
        <w:tab w:val="left" w:pos="2268"/>
      </w:tabs>
      <w:spacing w:before="240"/>
      <w:outlineLvl w:val="0"/>
    </w:pPr>
    <w:rPr>
      <w:rFonts w:cs="Arial"/>
      <w:i/>
      <w:sz w:val="28"/>
      <w:lang w:eastAsia="en-GB"/>
    </w:rPr>
  </w:style>
  <w:style w:type="paragraph" w:styleId="Heading2">
    <w:name w:val="heading 2"/>
    <w:basedOn w:val="Normal"/>
    <w:next w:val="BodyText"/>
    <w:link w:val="Heading2Char"/>
    <w:qFormat/>
    <w:rsid w:val="00095432"/>
    <w:pPr>
      <w:tabs>
        <w:tab w:val="clear" w:pos="567"/>
      </w:tabs>
      <w:spacing w:before="280"/>
      <w:outlineLvl w:val="1"/>
    </w:pPr>
    <w:rPr>
      <w:sz w:val="28"/>
      <w:szCs w:val="28"/>
    </w:rPr>
  </w:style>
  <w:style w:type="paragraph" w:styleId="Heading3">
    <w:name w:val="heading 3"/>
    <w:next w:val="BodyText"/>
    <w:link w:val="Heading3Char"/>
    <w:qFormat/>
    <w:rsid w:val="00546370"/>
    <w:pPr>
      <w:keepNext/>
      <w:spacing w:before="140" w:after="140" w:line="280" w:lineRule="atLeast"/>
      <w:outlineLvl w:val="2"/>
    </w:pPr>
    <w:rPr>
      <w:rFonts w:ascii="Arial" w:hAnsi="Arial"/>
      <w:b/>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CE4"/>
    <w:pPr>
      <w:tabs>
        <w:tab w:val="left" w:pos="357"/>
        <w:tab w:val="center" w:pos="4320"/>
        <w:tab w:val="right" w:pos="8640"/>
      </w:tabs>
    </w:pPr>
    <w:rPr>
      <w:sz w:val="18"/>
    </w:rPr>
  </w:style>
  <w:style w:type="paragraph" w:styleId="Footer">
    <w:name w:val="footer"/>
    <w:basedOn w:val="Normal"/>
    <w:rsid w:val="00F42CE4"/>
    <w:rPr>
      <w:sz w:val="18"/>
    </w:rPr>
  </w:style>
  <w:style w:type="character" w:styleId="PageNumber">
    <w:name w:val="page number"/>
    <w:rsid w:val="00BC7E24"/>
    <w:rPr>
      <w:rFonts w:ascii="Arial" w:hAnsi="Arial"/>
      <w:sz w:val="18"/>
    </w:rPr>
  </w:style>
  <w:style w:type="paragraph" w:styleId="TOC2">
    <w:name w:val="toc 2"/>
    <w:next w:val="Normal"/>
    <w:autoRedefine/>
    <w:semiHidden/>
    <w:pPr>
      <w:tabs>
        <w:tab w:val="left" w:pos="1134"/>
        <w:tab w:val="left" w:pos="2268"/>
        <w:tab w:val="left" w:pos="2552"/>
        <w:tab w:val="left" w:pos="3119"/>
        <w:tab w:val="right" w:leader="dot" w:pos="8448"/>
      </w:tabs>
      <w:spacing w:before="60" w:after="60"/>
      <w:ind w:left="3119" w:right="1134" w:hanging="1418"/>
    </w:pPr>
    <w:rPr>
      <w:rFonts w:ascii="Arial" w:hAnsi="Arial"/>
      <w:noProof/>
      <w:lang w:eastAsia="en-GB"/>
    </w:rPr>
  </w:style>
  <w:style w:type="paragraph" w:styleId="TOC3">
    <w:name w:val="toc 3"/>
    <w:basedOn w:val="BodyText"/>
    <w:next w:val="Normal"/>
    <w:autoRedefine/>
    <w:semiHidden/>
    <w:pPr>
      <w:tabs>
        <w:tab w:val="left" w:pos="851"/>
        <w:tab w:val="left" w:pos="1134"/>
        <w:tab w:val="left" w:pos="2268"/>
        <w:tab w:val="right" w:leader="dot" w:pos="8448"/>
      </w:tabs>
      <w:spacing w:after="0"/>
      <w:ind w:left="2268" w:right="1134"/>
    </w:pPr>
    <w:rPr>
      <w:noProof/>
    </w:rPr>
  </w:style>
  <w:style w:type="paragraph" w:styleId="BodyText">
    <w:name w:val="Body Text"/>
    <w:basedOn w:val="Normal"/>
    <w:rsid w:val="00546370"/>
    <w:rPr>
      <w:rFonts w:ascii="Arial" w:hAnsi="Arial"/>
      <w:sz w:val="20"/>
    </w:rPr>
  </w:style>
  <w:style w:type="paragraph" w:styleId="TOC4">
    <w:name w:val="toc 4"/>
    <w:basedOn w:val="Normal"/>
    <w:next w:val="Normal"/>
    <w:autoRedefine/>
    <w:semiHidden/>
    <w:pPr>
      <w:tabs>
        <w:tab w:val="right" w:leader="dot" w:pos="8448"/>
        <w:tab w:val="right" w:pos="8505"/>
      </w:tabs>
      <w:ind w:left="2835" w:right="1134"/>
    </w:pPr>
    <w:rPr>
      <w:rFonts w:ascii="Arial" w:hAnsi="Arial"/>
      <w:sz w:val="20"/>
    </w:rPr>
  </w:style>
  <w:style w:type="paragraph" w:customStyle="1" w:styleId="Address">
    <w:name w:val="Address"/>
    <w:pPr>
      <w:spacing w:line="180" w:lineRule="atLeast"/>
    </w:pPr>
    <w:rPr>
      <w:rFonts w:ascii="Arial" w:hAnsi="Arial"/>
      <w:noProof/>
      <w:color w:val="16288E"/>
      <w:sz w:val="16"/>
      <w:lang w:val="en-US"/>
    </w:rPr>
  </w:style>
  <w:style w:type="paragraph" w:styleId="EndnoteText">
    <w:name w:val="endnote text"/>
    <w:basedOn w:val="Normal"/>
    <w:semiHidden/>
    <w:pPr>
      <w:tabs>
        <w:tab w:val="left" w:pos="357"/>
      </w:tabs>
    </w:pPr>
    <w:rPr>
      <w:rFonts w:ascii="Arial" w:hAnsi="Arial"/>
      <w:sz w:val="20"/>
    </w:rPr>
  </w:style>
  <w:style w:type="paragraph" w:styleId="EnvelopeAddress">
    <w:name w:val="envelope address"/>
    <w:basedOn w:val="Normal"/>
    <w:pPr>
      <w:framePr w:w="7920" w:h="1980" w:hRule="exact" w:hSpace="180" w:wrap="auto" w:hAnchor="page" w:xAlign="center" w:yAlign="bottom"/>
      <w:tabs>
        <w:tab w:val="left" w:pos="357"/>
      </w:tabs>
      <w:ind w:left="2880"/>
    </w:pPr>
    <w:rPr>
      <w:rFonts w:ascii="Arial" w:hAnsi="Arial"/>
      <w:sz w:val="20"/>
    </w:rPr>
  </w:style>
  <w:style w:type="character" w:styleId="FollowedHyperlink">
    <w:name w:val="FollowedHyperlink"/>
    <w:rPr>
      <w:color w:val="808080"/>
      <w:u w:val="none"/>
    </w:rPr>
  </w:style>
  <w:style w:type="paragraph" w:styleId="FootnoteText">
    <w:name w:val="footnote text"/>
    <w:aliases w:val="Ftnote Txt 11ptG,Geneva 9,Font: Geneva 9,Boston 10,f,ft,Fotnotstext Char,ft Char,single space,footnote text,FOOTNOTES,ADB,single space1,footnote text1,FOOTNOTES1,fn1,ADB1,single space2,footnote text2,FOOTNOTES2,fn2,ADB2,single space3,fn3"/>
    <w:link w:val="FootnoteTextChar"/>
    <w:uiPriority w:val="99"/>
    <w:pPr>
      <w:spacing w:after="100" w:line="200" w:lineRule="atLeast"/>
    </w:pPr>
    <w:rPr>
      <w:rFonts w:ascii="Arial" w:hAnsi="Arial"/>
      <w:noProof/>
      <w:sz w:val="16"/>
      <w:lang w:val="en-US"/>
    </w:rPr>
  </w:style>
  <w:style w:type="character" w:styleId="Hyperlink">
    <w:name w:val="Hyperlink"/>
    <w:rsid w:val="00546370"/>
    <w:rPr>
      <w:rFonts w:ascii="Arial" w:hAnsi="Arial"/>
      <w:color w:val="16288E"/>
      <w:u w:val="none"/>
    </w:rPr>
  </w:style>
  <w:style w:type="paragraph" w:customStyle="1" w:styleId="Introduction">
    <w:name w:val="Introduction"/>
    <w:basedOn w:val="BodyText"/>
    <w:next w:val="BodyText"/>
    <w:rsid w:val="00546370"/>
    <w:pPr>
      <w:spacing w:before="140"/>
    </w:pPr>
    <w:rPr>
      <w:b/>
    </w:rPr>
  </w:style>
  <w:style w:type="paragraph" w:styleId="ListBullet">
    <w:name w:val="List Bullet"/>
    <w:basedOn w:val="Normal"/>
    <w:rsid w:val="00546370"/>
    <w:pPr>
      <w:numPr>
        <w:numId w:val="2"/>
      </w:numPr>
    </w:pPr>
  </w:style>
  <w:style w:type="paragraph" w:styleId="ListNumber">
    <w:name w:val="List Number"/>
    <w:basedOn w:val="Normal"/>
    <w:rsid w:val="00546370"/>
    <w:pPr>
      <w:numPr>
        <w:numId w:val="4"/>
      </w:numPr>
    </w:pPr>
    <w:rPr>
      <w:rFonts w:ascii="Arial" w:hAnsi="Arial"/>
      <w:sz w:val="20"/>
    </w:rPr>
  </w:style>
  <w:style w:type="paragraph" w:styleId="Title">
    <w:name w:val="Title"/>
    <w:link w:val="TitleChar"/>
    <w:qFormat/>
    <w:rsid w:val="00EE7DC4"/>
    <w:pPr>
      <w:spacing w:before="560" w:after="280" w:line="280" w:lineRule="atLeast"/>
      <w:outlineLvl w:val="0"/>
    </w:pPr>
    <w:rPr>
      <w:rFonts w:ascii="Arial" w:hAnsi="Arial"/>
      <w:noProof/>
      <w:kern w:val="28"/>
      <w:sz w:val="40"/>
      <w:lang w:val="en-US"/>
    </w:rPr>
  </w:style>
  <w:style w:type="character" w:customStyle="1" w:styleId="Heading1Char">
    <w:name w:val="Heading 1 Char"/>
    <w:link w:val="Heading1"/>
    <w:rsid w:val="007D3336"/>
    <w:rPr>
      <w:rFonts w:ascii="Calibri" w:hAnsi="Calibri" w:cs="Arial"/>
      <w:i/>
      <w:sz w:val="28"/>
      <w:lang w:eastAsia="en-GB"/>
    </w:rPr>
  </w:style>
  <w:style w:type="character" w:customStyle="1" w:styleId="Heading2Char">
    <w:name w:val="Heading 2 Char"/>
    <w:link w:val="Heading2"/>
    <w:rsid w:val="00095432"/>
    <w:rPr>
      <w:rFonts w:ascii="Calibri" w:hAnsi="Calibri"/>
      <w:sz w:val="28"/>
      <w:szCs w:val="28"/>
    </w:rPr>
  </w:style>
  <w:style w:type="character" w:customStyle="1" w:styleId="Heading3Char">
    <w:name w:val="Heading 3 Char"/>
    <w:link w:val="Heading3"/>
    <w:rsid w:val="00EE7DC4"/>
    <w:rPr>
      <w:rFonts w:ascii="Arial" w:hAnsi="Arial"/>
      <w:b/>
      <w:noProof/>
      <w:lang w:val="en-US" w:eastAsia="en-US" w:bidi="ar-SA"/>
    </w:rPr>
  </w:style>
  <w:style w:type="character" w:customStyle="1" w:styleId="TitleChar">
    <w:name w:val="Title Char"/>
    <w:link w:val="Title"/>
    <w:rsid w:val="00EE7DC4"/>
    <w:rPr>
      <w:rFonts w:ascii="Arial" w:hAnsi="Arial"/>
      <w:noProof/>
      <w:kern w:val="28"/>
      <w:sz w:val="40"/>
      <w:lang w:val="en-US" w:eastAsia="en-US" w:bidi="ar-SA"/>
    </w:rPr>
  </w:style>
  <w:style w:type="paragraph" w:customStyle="1" w:styleId="ZchnZchn1CharCharCarCar">
    <w:name w:val="Zchn Zchn1 Char Char Car Car"/>
    <w:basedOn w:val="Normal"/>
    <w:rsid w:val="00D02098"/>
    <w:pPr>
      <w:spacing w:after="160" w:line="240" w:lineRule="exact"/>
      <w:jc w:val="left"/>
    </w:pPr>
    <w:rPr>
      <w:rFonts w:ascii="Tahoma" w:hAnsi="Tahoma"/>
      <w:lang w:val="en-US"/>
    </w:rPr>
  </w:style>
  <w:style w:type="paragraph" w:customStyle="1" w:styleId="Docheader">
    <w:name w:val="Doc header"/>
    <w:basedOn w:val="Normal"/>
    <w:rsid w:val="00D02098"/>
    <w:pPr>
      <w:spacing w:after="0" w:line="280" w:lineRule="exact"/>
      <w:jc w:val="left"/>
    </w:pPr>
    <w:rPr>
      <w:sz w:val="24"/>
      <w:lang w:val="en-US"/>
    </w:rPr>
  </w:style>
  <w:style w:type="character" w:styleId="FootnoteReference">
    <w:name w:val="footnote reference"/>
    <w:aliases w:val="stylish,number,Footnote Reference Superscript,-E Fußnotenzeichen,(Diplomarbeit FZ),(Diplomarbeit FZ)1,(Diplomarbeit FZ)2,(Diplomarbeit FZ)3,(Diplomarbeit FZ)4,(Diplomarbeit FZ)5,(Diplomarbeit FZ)6,(Diplomarbeit FZ)7,(Diplomarbeit FZ)8"/>
    <w:qFormat/>
    <w:rsid w:val="00D02098"/>
    <w:rPr>
      <w:vertAlign w:val="superscript"/>
    </w:rPr>
  </w:style>
  <w:style w:type="paragraph" w:customStyle="1" w:styleId="MediumList2-Accent41">
    <w:name w:val="Medium List 2 - Accent 41"/>
    <w:basedOn w:val="Normal"/>
    <w:uiPriority w:val="34"/>
    <w:qFormat/>
    <w:rsid w:val="005556BD"/>
    <w:pPr>
      <w:tabs>
        <w:tab w:val="clear" w:pos="567"/>
      </w:tabs>
      <w:spacing w:after="200"/>
      <w:ind w:left="720"/>
      <w:contextualSpacing/>
      <w:jc w:val="left"/>
    </w:pPr>
    <w:rPr>
      <w:rFonts w:eastAsia="Calibri"/>
      <w:szCs w:val="22"/>
    </w:rPr>
  </w:style>
  <w:style w:type="paragraph" w:styleId="BalloonText">
    <w:name w:val="Balloon Text"/>
    <w:basedOn w:val="Normal"/>
    <w:link w:val="BalloonTextChar"/>
    <w:rsid w:val="00524DEA"/>
    <w:pPr>
      <w:spacing w:after="0" w:line="240" w:lineRule="auto"/>
    </w:pPr>
    <w:rPr>
      <w:rFonts w:ascii="Tahoma" w:hAnsi="Tahoma" w:cs="Tahoma"/>
      <w:sz w:val="16"/>
      <w:szCs w:val="16"/>
    </w:rPr>
  </w:style>
  <w:style w:type="character" w:customStyle="1" w:styleId="BalloonTextChar">
    <w:name w:val="Balloon Text Char"/>
    <w:link w:val="BalloonText"/>
    <w:rsid w:val="00524DEA"/>
    <w:rPr>
      <w:rFonts w:ascii="Tahoma" w:hAnsi="Tahoma" w:cs="Tahoma"/>
      <w:sz w:val="16"/>
      <w:szCs w:val="16"/>
      <w:lang w:eastAsia="en-US"/>
    </w:rPr>
  </w:style>
  <w:style w:type="character" w:styleId="CommentReference">
    <w:name w:val="annotation reference"/>
    <w:rsid w:val="00C12223"/>
    <w:rPr>
      <w:sz w:val="16"/>
      <w:szCs w:val="16"/>
    </w:rPr>
  </w:style>
  <w:style w:type="paragraph" w:styleId="CommentText">
    <w:name w:val="annotation text"/>
    <w:basedOn w:val="Normal"/>
    <w:link w:val="CommentTextChar"/>
    <w:rsid w:val="00C12223"/>
  </w:style>
  <w:style w:type="character" w:customStyle="1" w:styleId="CommentTextChar">
    <w:name w:val="Comment Text Char"/>
    <w:link w:val="CommentText"/>
    <w:rsid w:val="00C12223"/>
    <w:rPr>
      <w:rFonts w:ascii="Arial" w:hAnsi="Arial"/>
      <w:lang w:eastAsia="en-US"/>
    </w:rPr>
  </w:style>
  <w:style w:type="paragraph" w:styleId="CommentSubject">
    <w:name w:val="annotation subject"/>
    <w:basedOn w:val="CommentText"/>
    <w:next w:val="CommentText"/>
    <w:link w:val="CommentSubjectChar"/>
    <w:rsid w:val="00C12223"/>
    <w:rPr>
      <w:b/>
      <w:bCs/>
    </w:rPr>
  </w:style>
  <w:style w:type="character" w:customStyle="1" w:styleId="CommentSubjectChar">
    <w:name w:val="Comment Subject Char"/>
    <w:link w:val="CommentSubject"/>
    <w:rsid w:val="00C12223"/>
    <w:rPr>
      <w:rFonts w:ascii="Arial" w:hAnsi="Arial"/>
      <w:b/>
      <w:bCs/>
      <w:lang w:eastAsia="en-US"/>
    </w:rPr>
  </w:style>
  <w:style w:type="character" w:customStyle="1" w:styleId="apple-converted-space">
    <w:name w:val="apple-converted-space"/>
    <w:rsid w:val="00563AE0"/>
  </w:style>
  <w:style w:type="character" w:styleId="LineNumber">
    <w:name w:val="line number"/>
    <w:rsid w:val="00D352FB"/>
  </w:style>
  <w:style w:type="paragraph" w:styleId="DocumentMap">
    <w:name w:val="Document Map"/>
    <w:basedOn w:val="Normal"/>
    <w:link w:val="DocumentMapChar"/>
    <w:rsid w:val="00AA365B"/>
    <w:rPr>
      <w:rFonts w:ascii="Lucida Grande" w:hAnsi="Lucida Grande"/>
      <w:sz w:val="24"/>
      <w:szCs w:val="24"/>
    </w:rPr>
  </w:style>
  <w:style w:type="character" w:customStyle="1" w:styleId="DocumentMapChar">
    <w:name w:val="Document Map Char"/>
    <w:link w:val="DocumentMap"/>
    <w:rsid w:val="00AA365B"/>
    <w:rPr>
      <w:rFonts w:ascii="Lucida Grande" w:hAnsi="Lucida Grande"/>
      <w:sz w:val="24"/>
      <w:szCs w:val="24"/>
    </w:rPr>
  </w:style>
  <w:style w:type="paragraph" w:styleId="Revision">
    <w:name w:val="Revision"/>
    <w:hidden/>
    <w:uiPriority w:val="71"/>
    <w:rsid w:val="00FC31A2"/>
    <w:rPr>
      <w:rFonts w:ascii="Calibri" w:hAnsi="Calibri"/>
      <w:sz w:val="22"/>
    </w:rPr>
  </w:style>
  <w:style w:type="paragraph" w:styleId="ListParagraph">
    <w:name w:val="List Paragraph"/>
    <w:aliases w:val="_Bullet,Heading 2_sj,List Paragraph1,Listenabsatz1,Normal bullet 2,Bullet list,Dot pt,Parágrafo da Lista,Liststycke,No Spacing1,List Paragraph Char Char Char,Indicator Text,Numbered Para 1,Bullet 1,Bullet Points,MAIN CONTENT"/>
    <w:basedOn w:val="Normal"/>
    <w:link w:val="ListParagraphChar"/>
    <w:uiPriority w:val="34"/>
    <w:qFormat/>
    <w:rsid w:val="001B4603"/>
    <w:pPr>
      <w:ind w:left="720"/>
      <w:contextualSpacing/>
    </w:pPr>
  </w:style>
  <w:style w:type="table" w:styleId="TableGrid">
    <w:name w:val="Table Grid"/>
    <w:basedOn w:val="TableNormal"/>
    <w:rsid w:val="009E7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tnote Txt 11ptG Char,Geneva 9 Char,Font: Geneva 9 Char,Boston 10 Char,f Char,ft Char1,Fotnotstext Char Char,ft Char Char,single space Char,footnote text Char,FOOTNOTES Char,ADB Char,single space1 Char,footnote text1 Char,fn1 Char"/>
    <w:basedOn w:val="DefaultParagraphFont"/>
    <w:link w:val="FootnoteText"/>
    <w:uiPriority w:val="99"/>
    <w:qFormat/>
    <w:rsid w:val="00E758C0"/>
    <w:rPr>
      <w:rFonts w:ascii="Arial" w:hAnsi="Arial"/>
      <w:noProof/>
      <w:sz w:val="16"/>
      <w:lang w:val="en-US"/>
    </w:rPr>
  </w:style>
  <w:style w:type="character" w:styleId="Strong">
    <w:name w:val="Strong"/>
    <w:basedOn w:val="DefaultParagraphFont"/>
    <w:uiPriority w:val="22"/>
    <w:qFormat/>
    <w:rsid w:val="009C0B57"/>
    <w:rPr>
      <w:b/>
      <w:bCs/>
    </w:rPr>
  </w:style>
  <w:style w:type="character" w:customStyle="1" w:styleId="ListParagraphChar">
    <w:name w:val="List Paragraph Char"/>
    <w:aliases w:val="_Bullet Char,Heading 2_sj Char,List Paragraph1 Char,Listenabsatz1 Char,Normal bullet 2 Char,Bullet list Char,Dot pt Char,Parágrafo da Lista Char,Liststycke Char,No Spacing1 Char,List Paragraph Char Char Char Char,Indicator Text Char"/>
    <w:link w:val="ListParagraph"/>
    <w:uiPriority w:val="34"/>
    <w:qFormat/>
    <w:locked/>
    <w:rsid w:val="00897CC8"/>
    <w:rPr>
      <w:rFonts w:ascii="Calibri" w:hAnsi="Calibri"/>
      <w:sz w:val="22"/>
    </w:rPr>
  </w:style>
  <w:style w:type="table" w:customStyle="1" w:styleId="TableGrid2">
    <w:name w:val="Table Grid2"/>
    <w:basedOn w:val="TableNormal"/>
    <w:next w:val="TableGrid"/>
    <w:uiPriority w:val="59"/>
    <w:rsid w:val="002F13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6CA5"/>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8E6877"/>
    <w:rPr>
      <w:color w:val="605E5C"/>
      <w:shd w:val="clear" w:color="auto" w:fill="E1DFDD"/>
    </w:rPr>
  </w:style>
  <w:style w:type="table" w:customStyle="1" w:styleId="TableGrid1">
    <w:name w:val="Table Grid1"/>
    <w:basedOn w:val="TableNormal"/>
    <w:next w:val="TableGrid"/>
    <w:uiPriority w:val="59"/>
    <w:rsid w:val="00071437"/>
    <w:rPr>
      <w:rFonts w:ascii="Calibri" w:eastAsia="Calibri" w:hAnsi="Calibri"/>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04472">
      <w:bodyDiv w:val="1"/>
      <w:marLeft w:val="0"/>
      <w:marRight w:val="0"/>
      <w:marTop w:val="0"/>
      <w:marBottom w:val="0"/>
      <w:divBdr>
        <w:top w:val="none" w:sz="0" w:space="0" w:color="auto"/>
        <w:left w:val="none" w:sz="0" w:space="0" w:color="auto"/>
        <w:bottom w:val="none" w:sz="0" w:space="0" w:color="auto"/>
        <w:right w:val="none" w:sz="0" w:space="0" w:color="auto"/>
      </w:divBdr>
    </w:div>
    <w:div w:id="478232611">
      <w:bodyDiv w:val="1"/>
      <w:marLeft w:val="0"/>
      <w:marRight w:val="0"/>
      <w:marTop w:val="0"/>
      <w:marBottom w:val="0"/>
      <w:divBdr>
        <w:top w:val="none" w:sz="0" w:space="0" w:color="auto"/>
        <w:left w:val="none" w:sz="0" w:space="0" w:color="auto"/>
        <w:bottom w:val="none" w:sz="0" w:space="0" w:color="auto"/>
        <w:right w:val="none" w:sz="0" w:space="0" w:color="auto"/>
      </w:divBdr>
    </w:div>
    <w:div w:id="594367156">
      <w:bodyDiv w:val="1"/>
      <w:marLeft w:val="0"/>
      <w:marRight w:val="0"/>
      <w:marTop w:val="0"/>
      <w:marBottom w:val="0"/>
      <w:divBdr>
        <w:top w:val="none" w:sz="0" w:space="0" w:color="auto"/>
        <w:left w:val="none" w:sz="0" w:space="0" w:color="auto"/>
        <w:bottom w:val="none" w:sz="0" w:space="0" w:color="auto"/>
        <w:right w:val="none" w:sz="0" w:space="0" w:color="auto"/>
      </w:divBdr>
    </w:div>
    <w:div w:id="607860317">
      <w:bodyDiv w:val="1"/>
      <w:marLeft w:val="0"/>
      <w:marRight w:val="0"/>
      <w:marTop w:val="0"/>
      <w:marBottom w:val="0"/>
      <w:divBdr>
        <w:top w:val="none" w:sz="0" w:space="0" w:color="auto"/>
        <w:left w:val="none" w:sz="0" w:space="0" w:color="auto"/>
        <w:bottom w:val="none" w:sz="0" w:space="0" w:color="auto"/>
        <w:right w:val="none" w:sz="0" w:space="0" w:color="auto"/>
      </w:divBdr>
    </w:div>
    <w:div w:id="801315531">
      <w:bodyDiv w:val="1"/>
      <w:marLeft w:val="0"/>
      <w:marRight w:val="0"/>
      <w:marTop w:val="0"/>
      <w:marBottom w:val="0"/>
      <w:divBdr>
        <w:top w:val="none" w:sz="0" w:space="0" w:color="auto"/>
        <w:left w:val="none" w:sz="0" w:space="0" w:color="auto"/>
        <w:bottom w:val="none" w:sz="0" w:space="0" w:color="auto"/>
        <w:right w:val="none" w:sz="0" w:space="0" w:color="auto"/>
      </w:divBdr>
    </w:div>
    <w:div w:id="871726129">
      <w:bodyDiv w:val="1"/>
      <w:marLeft w:val="0"/>
      <w:marRight w:val="0"/>
      <w:marTop w:val="0"/>
      <w:marBottom w:val="0"/>
      <w:divBdr>
        <w:top w:val="none" w:sz="0" w:space="0" w:color="auto"/>
        <w:left w:val="none" w:sz="0" w:space="0" w:color="auto"/>
        <w:bottom w:val="none" w:sz="0" w:space="0" w:color="auto"/>
        <w:right w:val="none" w:sz="0" w:space="0" w:color="auto"/>
      </w:divBdr>
    </w:div>
    <w:div w:id="940533378">
      <w:bodyDiv w:val="1"/>
      <w:marLeft w:val="0"/>
      <w:marRight w:val="0"/>
      <w:marTop w:val="0"/>
      <w:marBottom w:val="0"/>
      <w:divBdr>
        <w:top w:val="none" w:sz="0" w:space="0" w:color="auto"/>
        <w:left w:val="none" w:sz="0" w:space="0" w:color="auto"/>
        <w:bottom w:val="none" w:sz="0" w:space="0" w:color="auto"/>
        <w:right w:val="none" w:sz="0" w:space="0" w:color="auto"/>
      </w:divBdr>
    </w:div>
    <w:div w:id="1123352611">
      <w:bodyDiv w:val="1"/>
      <w:marLeft w:val="0"/>
      <w:marRight w:val="0"/>
      <w:marTop w:val="0"/>
      <w:marBottom w:val="0"/>
      <w:divBdr>
        <w:top w:val="none" w:sz="0" w:space="0" w:color="auto"/>
        <w:left w:val="none" w:sz="0" w:space="0" w:color="auto"/>
        <w:bottom w:val="none" w:sz="0" w:space="0" w:color="auto"/>
        <w:right w:val="none" w:sz="0" w:space="0" w:color="auto"/>
      </w:divBdr>
    </w:div>
    <w:div w:id="1369641923">
      <w:bodyDiv w:val="1"/>
      <w:marLeft w:val="0"/>
      <w:marRight w:val="0"/>
      <w:marTop w:val="0"/>
      <w:marBottom w:val="0"/>
      <w:divBdr>
        <w:top w:val="none" w:sz="0" w:space="0" w:color="auto"/>
        <w:left w:val="none" w:sz="0" w:space="0" w:color="auto"/>
        <w:bottom w:val="none" w:sz="0" w:space="0" w:color="auto"/>
        <w:right w:val="none" w:sz="0" w:space="0" w:color="auto"/>
      </w:divBdr>
    </w:div>
    <w:div w:id="1562012803">
      <w:bodyDiv w:val="1"/>
      <w:marLeft w:val="0"/>
      <w:marRight w:val="0"/>
      <w:marTop w:val="0"/>
      <w:marBottom w:val="0"/>
      <w:divBdr>
        <w:top w:val="none" w:sz="0" w:space="0" w:color="auto"/>
        <w:left w:val="none" w:sz="0" w:space="0" w:color="auto"/>
        <w:bottom w:val="none" w:sz="0" w:space="0" w:color="auto"/>
        <w:right w:val="none" w:sz="0" w:space="0" w:color="auto"/>
      </w:divBdr>
    </w:div>
    <w:div w:id="1604654451">
      <w:bodyDiv w:val="1"/>
      <w:marLeft w:val="0"/>
      <w:marRight w:val="0"/>
      <w:marTop w:val="0"/>
      <w:marBottom w:val="0"/>
      <w:divBdr>
        <w:top w:val="none" w:sz="0" w:space="0" w:color="auto"/>
        <w:left w:val="none" w:sz="0" w:space="0" w:color="auto"/>
        <w:bottom w:val="none" w:sz="0" w:space="0" w:color="auto"/>
        <w:right w:val="none" w:sz="0" w:space="0" w:color="auto"/>
      </w:divBdr>
    </w:div>
    <w:div w:id="1651866473">
      <w:bodyDiv w:val="1"/>
      <w:marLeft w:val="0"/>
      <w:marRight w:val="0"/>
      <w:marTop w:val="0"/>
      <w:marBottom w:val="0"/>
      <w:divBdr>
        <w:top w:val="none" w:sz="0" w:space="0" w:color="auto"/>
        <w:left w:val="none" w:sz="0" w:space="0" w:color="auto"/>
        <w:bottom w:val="none" w:sz="0" w:space="0" w:color="auto"/>
        <w:right w:val="none" w:sz="0" w:space="0" w:color="auto"/>
      </w:divBdr>
    </w:div>
    <w:div w:id="1660040274">
      <w:bodyDiv w:val="1"/>
      <w:marLeft w:val="0"/>
      <w:marRight w:val="0"/>
      <w:marTop w:val="0"/>
      <w:marBottom w:val="0"/>
      <w:divBdr>
        <w:top w:val="none" w:sz="0" w:space="0" w:color="auto"/>
        <w:left w:val="none" w:sz="0" w:space="0" w:color="auto"/>
        <w:bottom w:val="none" w:sz="0" w:space="0" w:color="auto"/>
        <w:right w:val="none" w:sz="0" w:space="0" w:color="auto"/>
      </w:divBdr>
    </w:div>
    <w:div w:id="1902711047">
      <w:bodyDiv w:val="1"/>
      <w:marLeft w:val="0"/>
      <w:marRight w:val="0"/>
      <w:marTop w:val="0"/>
      <w:marBottom w:val="0"/>
      <w:divBdr>
        <w:top w:val="none" w:sz="0" w:space="0" w:color="auto"/>
        <w:left w:val="none" w:sz="0" w:space="0" w:color="auto"/>
        <w:bottom w:val="none" w:sz="0" w:space="0" w:color="auto"/>
        <w:right w:val="none" w:sz="0" w:space="0" w:color="auto"/>
      </w:divBdr>
    </w:div>
    <w:div w:id="1917550343">
      <w:bodyDiv w:val="1"/>
      <w:marLeft w:val="0"/>
      <w:marRight w:val="0"/>
      <w:marTop w:val="0"/>
      <w:marBottom w:val="0"/>
      <w:divBdr>
        <w:top w:val="none" w:sz="0" w:space="0" w:color="auto"/>
        <w:left w:val="none" w:sz="0" w:space="0" w:color="auto"/>
        <w:bottom w:val="none" w:sz="0" w:space="0" w:color="auto"/>
        <w:right w:val="none" w:sz="0" w:space="0" w:color="auto"/>
      </w:divBdr>
    </w:div>
    <w:div w:id="1927223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ap.ospar.org/en/ospar-assessments/quality-status-reports/qsr-2023/indicator-assessments/inputs-nutrien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OSPAR%20Templates\FINAL%20WORD%20TEMPLATES\OSPAR_Meeting%20document_calib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E27EE-8318-4475-A0BF-8C1D08578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OSPAR_Meeting document_calibry.dot</Template>
  <TotalTime>17</TotalTime>
  <Pages>5</Pages>
  <Words>1461</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OSPAR_MEETING_DOCUMENT</vt:lpstr>
    </vt:vector>
  </TitlesOfParts>
  <Company>.</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OSPAR_MEETING_DOCUMENT</dc:title>
  <dc:creator>Kati Rowson</dc:creator>
  <cp:lastModifiedBy>Corinne Michel</cp:lastModifiedBy>
  <cp:revision>6</cp:revision>
  <cp:lastPrinted>2023-04-27T15:22:00Z</cp:lastPrinted>
  <dcterms:created xsi:type="dcterms:W3CDTF">2024-06-27T14:02:00Z</dcterms:created>
  <dcterms:modified xsi:type="dcterms:W3CDTF">2024-07-01T08:32:00Z</dcterms:modified>
</cp:coreProperties>
</file>